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1475"/>
          <w:tab w:val="left" w:pos="7028"/>
        </w:tabs>
        <w:jc w:val="right"/>
        <w:rPr>
          <w:rFonts w:ascii="Calibri" w:cs="Calibri" w:eastAsia="Calibri" w:hAnsi="Calibri"/>
        </w:rPr>
      </w:pPr>
      <w:r w:rsidDel="00000000" w:rsidR="00000000" w:rsidRPr="00000000">
        <w:rPr>
          <w:rFonts w:ascii="Calibri" w:cs="Calibri" w:eastAsia="Calibri" w:hAnsi="Calibri"/>
          <w:b w:val="1"/>
          <w:i w:val="1"/>
          <w:sz w:val="16"/>
          <w:szCs w:val="16"/>
          <w:rtl w:val="0"/>
        </w:rPr>
        <w:t xml:space="preserve"> Załącznik nr 7 do siwz_</w:t>
      </w:r>
      <w:r w:rsidDel="00000000" w:rsidR="00000000" w:rsidRPr="00000000">
        <w:rPr>
          <w:rFonts w:ascii="Calibri" w:cs="Calibri" w:eastAsia="Calibri" w:hAnsi="Calibri"/>
          <w:b w:val="1"/>
          <w:i w:val="1"/>
          <w:sz w:val="18"/>
          <w:szCs w:val="18"/>
          <w:rtl w:val="0"/>
        </w:rPr>
        <w:t xml:space="preserve">W</w:t>
      </w:r>
      <w:r w:rsidDel="00000000" w:rsidR="00000000" w:rsidRPr="00000000">
        <w:rPr>
          <w:rFonts w:ascii="Calibri" w:cs="Calibri" w:eastAsia="Calibri" w:hAnsi="Calibri"/>
          <w:b w:val="1"/>
          <w:i w:val="1"/>
          <w:sz w:val="16"/>
          <w:szCs w:val="16"/>
          <w:rtl w:val="0"/>
        </w:rPr>
        <w:t xml:space="preserve">ZÓR</w:t>
      </w:r>
      <w:r w:rsidDel="00000000" w:rsidR="00000000" w:rsidRPr="00000000">
        <w:rPr>
          <w:rFonts w:ascii="Calibri" w:cs="Calibri" w:eastAsia="Calibri" w:hAnsi="Calibri"/>
          <w:b w:val="1"/>
          <w:i w:val="1"/>
          <w:sz w:val="18"/>
          <w:szCs w:val="18"/>
          <w:rtl w:val="0"/>
        </w:rPr>
        <w:t xml:space="preserve"> U</w:t>
      </w:r>
      <w:r w:rsidDel="00000000" w:rsidR="00000000" w:rsidRPr="00000000">
        <w:rPr>
          <w:rFonts w:ascii="Calibri" w:cs="Calibri" w:eastAsia="Calibri" w:hAnsi="Calibri"/>
          <w:b w:val="1"/>
          <w:i w:val="1"/>
          <w:sz w:val="16"/>
          <w:szCs w:val="16"/>
          <w:rtl w:val="0"/>
        </w:rPr>
        <w:t xml:space="preserve">MOWY</w:t>
      </w:r>
      <w:r w:rsidDel="00000000" w:rsidR="00000000" w:rsidRPr="00000000">
        <w:rPr>
          <w:rtl w:val="0"/>
        </w:rPr>
      </w:r>
    </w:p>
    <w:p w:rsidR="00000000" w:rsidDel="00000000" w:rsidP="00000000" w:rsidRDefault="00000000" w:rsidRPr="00000000" w14:paraId="00000002">
      <w:pPr>
        <w:widowControl w:val="0"/>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Umowa nr …………………..zawarta w dniu …..</w:t>
      </w:r>
    </w:p>
    <w:p w:rsidR="00000000" w:rsidDel="00000000" w:rsidP="00000000" w:rsidRDefault="00000000" w:rsidRPr="00000000" w14:paraId="00000004">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 rezultacie udzielenia zamówienia publicznego, w trybie dialogu konkurencyjnego nr OMGGS/DK/01/2020 na podstawie ustawy z dnia 29.01.2004 r. Prawo zamówień publicznych (tekst jednolity Dz. U. z 2019 r. poz. 1843 ze zm., dalej jako „uPzp”) pomiędzy:</w:t>
      </w:r>
    </w:p>
    <w:p w:rsidR="00000000" w:rsidDel="00000000" w:rsidP="00000000" w:rsidRDefault="00000000" w:rsidRPr="00000000" w14:paraId="00000006">
      <w:pPr>
        <w:widowControl w:val="0"/>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Stowarzyszeniem Obszar Metropolitalny Gdańsk-Gdynia-Sopot, ul. Długi Targ 39/40, 80-830 Gdańsk, wpisanym do rejestru stowarzyszeń, innych organizacji społecznych i zawodowych, fundacji oraz samorządowych publicznych zakładów opieki zdrowotnej prowadzonego przez Sąd Rejonowy Gdańsk-Północ pod numerem KRS 0000398498 NIP 583 31 51 748 w imieniu i na rzecz którego działa ________</w:t>
      </w:r>
    </w:p>
    <w:p w:rsidR="00000000" w:rsidDel="00000000" w:rsidP="00000000" w:rsidRDefault="00000000" w:rsidRPr="00000000" w14:paraId="00000008">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zwanym dalej </w:t>
      </w:r>
      <w:r w:rsidDel="00000000" w:rsidR="00000000" w:rsidRPr="00000000">
        <w:rPr>
          <w:rFonts w:ascii="Calibri" w:cs="Calibri" w:eastAsia="Calibri" w:hAnsi="Calibri"/>
          <w:b w:val="1"/>
          <w:rtl w:val="0"/>
        </w:rPr>
        <w:t xml:space="preserve">„Zamawiającym”</w:t>
      </w:r>
      <w:r w:rsidDel="00000000" w:rsidR="00000000" w:rsidRPr="00000000">
        <w:rPr>
          <w:rtl w:val="0"/>
        </w:rPr>
      </w:r>
    </w:p>
    <w:p w:rsidR="00000000" w:rsidDel="00000000" w:rsidP="00000000" w:rsidRDefault="00000000" w:rsidRPr="00000000" w14:paraId="00000009">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A">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zwanym dalej </w:t>
      </w:r>
      <w:r w:rsidDel="00000000" w:rsidR="00000000" w:rsidRPr="00000000">
        <w:rPr>
          <w:rFonts w:ascii="Calibri" w:cs="Calibri" w:eastAsia="Calibri" w:hAnsi="Calibri"/>
          <w:b w:val="1"/>
          <w:rtl w:val="0"/>
        </w:rPr>
        <w:t xml:space="preserve">„Wykonawcą” </w:t>
      </w:r>
      <w:r w:rsidDel="00000000" w:rsidR="00000000" w:rsidRPr="00000000">
        <w:rPr>
          <w:rFonts w:ascii="Calibri" w:cs="Calibri" w:eastAsia="Calibri" w:hAnsi="Calibri"/>
          <w:rtl w:val="0"/>
        </w:rPr>
        <w:t xml:space="preserve">reprezentowanym przez:</w:t>
      </w:r>
    </w:p>
    <w:p w:rsidR="00000000" w:rsidDel="00000000" w:rsidP="00000000" w:rsidRDefault="00000000" w:rsidRPr="00000000" w14:paraId="0000000E">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widowControl w:val="0"/>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1"/>
        <w:spacing w:after="40" w:line="276" w:lineRule="auto"/>
        <w:jc w:val="center"/>
        <w:rPr>
          <w:rFonts w:ascii="Calibri" w:cs="Calibri" w:eastAsia="Calibri" w:hAnsi="Calibri"/>
        </w:rPr>
      </w:pPr>
      <w:bookmarkStart w:colFirst="0" w:colLast="0" w:name="_heading=h.tyjcwt" w:id="0"/>
      <w:bookmarkEnd w:id="0"/>
      <w:r w:rsidDel="00000000" w:rsidR="00000000" w:rsidRPr="00000000">
        <w:rPr>
          <w:rFonts w:ascii="Calibri" w:cs="Calibri" w:eastAsia="Calibri" w:hAnsi="Calibri"/>
          <w:b w:val="1"/>
          <w:rtl w:val="0"/>
        </w:rPr>
        <w:t xml:space="preserve">§ 1 – Definicje</w:t>
      </w:r>
      <w:r w:rsidDel="00000000" w:rsidR="00000000" w:rsidRPr="00000000">
        <w:rPr>
          <w:rtl w:val="0"/>
        </w:rPr>
      </w:r>
    </w:p>
    <w:p w:rsidR="00000000" w:rsidDel="00000000" w:rsidP="00000000" w:rsidRDefault="00000000" w:rsidRPr="00000000" w14:paraId="00000012">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Dla potrzeb interpretacji niniejszej Umowy ustala się znaczenie następujących pojęć:</w:t>
      </w:r>
    </w:p>
    <w:p w:rsidR="00000000" w:rsidDel="00000000" w:rsidP="00000000" w:rsidRDefault="00000000" w:rsidRPr="00000000" w14:paraId="00000013">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Aplikacja</w:t>
      </w:r>
      <w:r w:rsidDel="00000000" w:rsidR="00000000" w:rsidRPr="00000000">
        <w:rPr>
          <w:rFonts w:ascii="Calibri" w:cs="Calibri" w:eastAsia="Calibri" w:hAnsi="Calibri"/>
          <w:rtl w:val="0"/>
        </w:rPr>
        <w:t xml:space="preserve"> – aplikacja mobilna służąca do obsługi i korzystania z SRM MEVO, opisana w OPZ;</w:t>
      </w:r>
    </w:p>
    <w:p w:rsidR="00000000" w:rsidDel="00000000" w:rsidP="00000000" w:rsidRDefault="00000000" w:rsidRPr="00000000" w14:paraId="00000014">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Centrum Kontaktu</w:t>
      </w:r>
      <w:r w:rsidDel="00000000" w:rsidR="00000000" w:rsidRPr="00000000">
        <w:rPr>
          <w:rFonts w:ascii="Calibri" w:cs="Calibri" w:eastAsia="Calibri" w:hAnsi="Calibri"/>
          <w:rtl w:val="0"/>
        </w:rPr>
        <w:t xml:space="preserve"> - element systemu obsługi Klienta, który pozwala na kontakt z operatorem SRM MEVO przy pomocy telefonu, poczty elektronicznej oraz wiadomości tekstowych;</w:t>
      </w:r>
    </w:p>
    <w:p w:rsidR="00000000" w:rsidDel="00000000" w:rsidP="00000000" w:rsidRDefault="00000000" w:rsidRPr="00000000" w14:paraId="00000015">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Duży Totem Informacyjny -</w:t>
      </w:r>
      <w:r w:rsidDel="00000000" w:rsidR="00000000" w:rsidRPr="00000000">
        <w:rPr>
          <w:rFonts w:ascii="Calibri" w:cs="Calibri" w:eastAsia="Calibri" w:hAnsi="Calibri"/>
          <w:rtl w:val="0"/>
        </w:rPr>
        <w:t xml:space="preserve"> element identyfikacji wizualnej SRM MEVO, wchodzący w skład Stacji Postoju, szczegółowo opisany w OPZ;</w:t>
      </w:r>
    </w:p>
    <w:p w:rsidR="00000000" w:rsidDel="00000000" w:rsidP="00000000" w:rsidRDefault="00000000" w:rsidRPr="00000000" w14:paraId="00000016">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FALA - Platforma Zintegrowanych Usług Mobilności (PZUM)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system poboru opłat za przewozy w zbiorowym transporcie pasażerskim;</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numPr>
          <w:ilvl w:val="1"/>
          <w:numId w:val="51"/>
        </w:numPr>
        <w:spacing w:after="40" w:line="276" w:lineRule="auto"/>
        <w:ind w:left="709" w:hanging="425"/>
        <w:jc w:val="both"/>
        <w:rPr>
          <w:rFonts w:ascii="Calibri" w:cs="Calibri" w:eastAsia="Calibri" w:hAnsi="Calibri"/>
          <w:b w:val="1"/>
        </w:rPr>
      </w:pPr>
      <w:bookmarkStart w:colFirst="0" w:colLast="0" w:name="_heading=h.3dy6vkm" w:id="1"/>
      <w:bookmarkEnd w:id="1"/>
      <w:r w:rsidDel="00000000" w:rsidR="00000000" w:rsidRPr="00000000">
        <w:rPr>
          <w:rFonts w:ascii="Calibri" w:cs="Calibri" w:eastAsia="Calibri" w:hAnsi="Calibri"/>
          <w:b w:val="1"/>
          <w:rtl w:val="0"/>
        </w:rPr>
        <w:t xml:space="preserve">Klient </w:t>
      </w:r>
      <w:r w:rsidDel="00000000" w:rsidR="00000000" w:rsidRPr="00000000">
        <w:rPr>
          <w:rFonts w:ascii="Calibri" w:cs="Calibri" w:eastAsia="Calibri" w:hAnsi="Calibri"/>
          <w:rtl w:val="0"/>
        </w:rPr>
        <w:t xml:space="preserve">– osoba korzystająca z SRM MEVO, poprzez zawarcie odpowiedniej umowy, zwana inaczej „użytkownikiem” ;</w:t>
      </w:r>
      <w:r w:rsidDel="00000000" w:rsidR="00000000" w:rsidRPr="00000000">
        <w:rPr>
          <w:rtl w:val="0"/>
        </w:rPr>
      </w:r>
    </w:p>
    <w:p w:rsidR="00000000" w:rsidDel="00000000" w:rsidP="00000000" w:rsidRDefault="00000000" w:rsidRPr="00000000" w14:paraId="00000018">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Koncepcja funkcjonowania  - </w:t>
      </w:r>
      <w:r w:rsidDel="00000000" w:rsidR="00000000" w:rsidRPr="00000000">
        <w:rPr>
          <w:rFonts w:ascii="Calibri" w:cs="Calibri" w:eastAsia="Calibri" w:hAnsi="Calibri"/>
          <w:rtl w:val="0"/>
        </w:rPr>
        <w:t xml:space="preserve">dokument składany przez Wykonawcę, wraz z ofertą, zawierający opis przyjętych rozwiązań zastosowanych do realizacji Przedmiotu Umowy; </w:t>
      </w:r>
    </w:p>
    <w:p w:rsidR="00000000" w:rsidDel="00000000" w:rsidP="00000000" w:rsidRDefault="00000000" w:rsidRPr="00000000" w14:paraId="00000019">
      <w:pPr>
        <w:numPr>
          <w:ilvl w:val="1"/>
          <w:numId w:val="51"/>
        </w:numPr>
        <w:spacing w:after="40" w:line="276" w:lineRule="auto"/>
        <w:ind w:left="709" w:hanging="425"/>
        <w:jc w:val="both"/>
        <w:rPr>
          <w:rFonts w:ascii="Calibri" w:cs="Calibri" w:eastAsia="Calibri" w:hAnsi="Calibri"/>
        </w:rPr>
      </w:pPr>
      <w:bookmarkStart w:colFirst="0" w:colLast="0" w:name="_heading=h.gjdgxs" w:id="2"/>
      <w:bookmarkEnd w:id="2"/>
      <w:r w:rsidDel="00000000" w:rsidR="00000000" w:rsidRPr="00000000">
        <w:rPr>
          <w:rFonts w:ascii="Calibri" w:cs="Calibri" w:eastAsia="Calibri" w:hAnsi="Calibri"/>
          <w:b w:val="1"/>
          <w:rtl w:val="0"/>
        </w:rPr>
        <w:t xml:space="preserve">Mały Totem Informacyjny - </w:t>
      </w:r>
      <w:r w:rsidDel="00000000" w:rsidR="00000000" w:rsidRPr="00000000">
        <w:rPr>
          <w:rFonts w:ascii="Calibri" w:cs="Calibri" w:eastAsia="Calibri" w:hAnsi="Calibri"/>
          <w:rtl w:val="0"/>
        </w:rPr>
        <w:t xml:space="preserve">element identyfikacji wizualnej SRM MEVO, wchodzący w skład Stacji Postoju, szczegółowo opisany w OPZ;</w:t>
      </w:r>
    </w:p>
    <w:p w:rsidR="00000000" w:rsidDel="00000000" w:rsidP="00000000" w:rsidRDefault="00000000" w:rsidRPr="00000000" w14:paraId="0000001A">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Miejsce parkingowe </w:t>
      </w:r>
      <w:r w:rsidDel="00000000" w:rsidR="00000000" w:rsidRPr="00000000">
        <w:rPr>
          <w:rFonts w:ascii="Calibri" w:cs="Calibri" w:eastAsia="Calibri" w:hAnsi="Calibri"/>
          <w:rtl w:val="0"/>
        </w:rPr>
        <w:t xml:space="preserve">– przestrzeń przy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stojaku rowerowym Stacji Postoju lub inny element Stacji Postoju, w którym można zostawić Rower bez dodatkowej opłaty;</w:t>
      </w:r>
    </w:p>
    <w:p w:rsidR="00000000" w:rsidDel="00000000" w:rsidP="00000000" w:rsidRDefault="00000000" w:rsidRPr="00000000" w14:paraId="0000001B">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Niefunkcjonowanie SRM MEVO </w:t>
      </w:r>
      <w:r w:rsidDel="00000000" w:rsidR="00000000" w:rsidRPr="00000000">
        <w:rPr>
          <w:rFonts w:ascii="Calibri" w:cs="Calibri" w:eastAsia="Calibri" w:hAnsi="Calibri"/>
          <w:rtl w:val="0"/>
        </w:rPr>
        <w:t xml:space="preserve">– wystąpienie co najmniej jednej z poniższych sytuacji:</w:t>
      </w:r>
    </w:p>
    <w:p w:rsidR="00000000" w:rsidDel="00000000" w:rsidP="00000000" w:rsidRDefault="00000000" w:rsidRPr="00000000" w14:paraId="0000001C">
      <w:pPr>
        <w:numPr>
          <w:ilvl w:val="0"/>
          <w:numId w:val="4"/>
        </w:numPr>
        <w:spacing w:after="40" w:line="276" w:lineRule="auto"/>
        <w:ind w:left="993" w:hanging="425"/>
        <w:jc w:val="both"/>
        <w:rPr>
          <w:rFonts w:ascii="Calibri" w:cs="Calibri" w:eastAsia="Calibri" w:hAnsi="Calibri"/>
        </w:rPr>
      </w:pPr>
      <w:r w:rsidDel="00000000" w:rsidR="00000000" w:rsidRPr="00000000">
        <w:rPr>
          <w:rFonts w:ascii="Calibri" w:cs="Calibri" w:eastAsia="Calibri" w:hAnsi="Calibri"/>
          <w:rtl w:val="0"/>
        </w:rPr>
        <w:t xml:space="preserve">niemożliwe jest wykonanie czynności wypożyczenia lub zwrotu Rowerów dostępnych w SRM MEVO w zakresie co najmniej 50% Rowerów, które danego dnia powinny być dostępne;</w:t>
      </w:r>
    </w:p>
    <w:p w:rsidR="00000000" w:rsidDel="00000000" w:rsidP="00000000" w:rsidRDefault="00000000" w:rsidRPr="00000000" w14:paraId="0000001D">
      <w:pPr>
        <w:numPr>
          <w:ilvl w:val="0"/>
          <w:numId w:val="4"/>
        </w:numPr>
        <w:spacing w:after="40" w:line="276" w:lineRule="auto"/>
        <w:ind w:left="993" w:hanging="425"/>
        <w:jc w:val="both"/>
        <w:rPr>
          <w:rFonts w:ascii="Calibri" w:cs="Calibri" w:eastAsia="Calibri" w:hAnsi="Calibri"/>
        </w:rPr>
      </w:pPr>
      <w:r w:rsidDel="00000000" w:rsidR="00000000" w:rsidRPr="00000000">
        <w:rPr>
          <w:rFonts w:ascii="Calibri" w:cs="Calibri" w:eastAsia="Calibri" w:hAnsi="Calibri"/>
          <w:rtl w:val="0"/>
        </w:rPr>
        <w:t xml:space="preserve">nieprzerwanie przez 6 godzin jest niedostępna lub nie funkcjonuje: Aplikacja lub jej element opisany w OPZ lub Serwis Internetowy lub jej element opisany w OPZ lub System Informatyczny do obsługi wypożyczeń lub jego element opisany w OPZ lub System Informatyczny do nadzoru i raportowania lub jego element opisany w OPZ;</w:t>
      </w:r>
    </w:p>
    <w:p w:rsidR="00000000" w:rsidDel="00000000" w:rsidP="00000000" w:rsidRDefault="00000000" w:rsidRPr="00000000" w14:paraId="0000001E">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Okres rozliczeniowy</w:t>
      </w:r>
      <w:r w:rsidDel="00000000" w:rsidR="00000000" w:rsidRPr="00000000">
        <w:rPr>
          <w:rFonts w:ascii="Calibri" w:cs="Calibri" w:eastAsia="Calibri" w:hAnsi="Calibri"/>
          <w:rtl w:val="0"/>
        </w:rPr>
        <w:t xml:space="preserve"> – miesiąc kalendarzowy, po upływie którego Strony uprawnione są do podpisania protokołu odbioru, stanowiącego podstawę do wystawienia następnie przez Wykonawcę faktury za wykonane w tym miesiącu usługi stanowiące Przedmiot Umowy; za niepełny miesiąc kalendarzowy rozliczenie będzie następowało po zakończeniu tego miesiąca;</w:t>
      </w:r>
    </w:p>
    <w:p w:rsidR="00000000" w:rsidDel="00000000" w:rsidP="00000000" w:rsidRDefault="00000000" w:rsidRPr="00000000" w14:paraId="0000001F">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OPZ</w:t>
      </w:r>
      <w:r w:rsidDel="00000000" w:rsidR="00000000" w:rsidRPr="00000000">
        <w:rPr>
          <w:rFonts w:ascii="Calibri" w:cs="Calibri" w:eastAsia="Calibri" w:hAnsi="Calibri"/>
          <w:rtl w:val="0"/>
        </w:rPr>
        <w:t xml:space="preserve"> – opis przedmiotu zamówienia, stanowiący część SIWZ;</w:t>
      </w:r>
    </w:p>
    <w:p w:rsidR="00000000" w:rsidDel="00000000" w:rsidP="00000000" w:rsidRDefault="00000000" w:rsidRPr="00000000" w14:paraId="00000020">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Podwykonawca</w:t>
      </w:r>
      <w:r w:rsidDel="00000000" w:rsidR="00000000" w:rsidRPr="00000000">
        <w:rPr>
          <w:rFonts w:ascii="Calibri" w:cs="Calibri" w:eastAsia="Calibri" w:hAnsi="Calibri"/>
          <w:rtl w:val="0"/>
        </w:rPr>
        <w:t xml:space="preserve"> - podmiot, z którym Wykonawca zawarł umowę w formie pisemnej o charakterze odpłatnym, której przedmiotem są usługi, dostawy lub roboty budowlane stanowiące część Przedmiotu Umowy;  </w:t>
      </w:r>
    </w:p>
    <w:p w:rsidR="00000000" w:rsidDel="00000000" w:rsidP="00000000" w:rsidRDefault="00000000" w:rsidRPr="00000000" w14:paraId="00000021">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Relokacja</w:t>
      </w:r>
      <w:r w:rsidDel="00000000" w:rsidR="00000000" w:rsidRPr="00000000">
        <w:rPr>
          <w:rFonts w:ascii="Calibri" w:cs="Calibri" w:eastAsia="Calibri" w:hAnsi="Calibri"/>
          <w:rtl w:val="0"/>
        </w:rPr>
        <w:t xml:space="preserve"> – czynności podejmowane przez Wykonawcę w celu zapewnienia właściwej liczby rowerów na Stacjach Postoju w każdej gminie i w każdej Strefie Relokacji;</w:t>
      </w:r>
    </w:p>
    <w:p w:rsidR="00000000" w:rsidDel="00000000" w:rsidP="00000000" w:rsidRDefault="00000000" w:rsidRPr="00000000" w14:paraId="00000022">
      <w:pPr>
        <w:numPr>
          <w:ilvl w:val="1"/>
          <w:numId w:val="51"/>
        </w:numPr>
        <w:spacing w:after="40" w:line="276" w:lineRule="auto"/>
        <w:ind w:left="709" w:hanging="425"/>
        <w:jc w:val="both"/>
        <w:rPr>
          <w:rFonts w:ascii="Calibri" w:cs="Calibri" w:eastAsia="Calibri" w:hAnsi="Calibri"/>
        </w:rPr>
      </w:pPr>
      <w:bookmarkStart w:colFirst="0" w:colLast="0" w:name="_heading=h.1t3h5sf" w:id="3"/>
      <w:bookmarkEnd w:id="3"/>
      <w:r w:rsidDel="00000000" w:rsidR="00000000" w:rsidRPr="00000000">
        <w:rPr>
          <w:rFonts w:ascii="Calibri" w:cs="Calibri" w:eastAsia="Calibri" w:hAnsi="Calibri"/>
          <w:b w:val="1"/>
          <w:rtl w:val="0"/>
        </w:rPr>
        <w:t xml:space="preserve">Rower dostępny w SRM MEVO</w:t>
      </w:r>
      <w:r w:rsidDel="00000000" w:rsidR="00000000" w:rsidRPr="00000000">
        <w:rPr>
          <w:rFonts w:ascii="Calibri" w:cs="Calibri" w:eastAsia="Calibri" w:hAnsi="Calibri"/>
          <w:rtl w:val="0"/>
        </w:rPr>
        <w:t xml:space="preserve"> - rower, który jest sprawny i gotowy do wypożyczenia lub wypożyczony lub zarezerwowany przez Klienta, przy czym w przypadku roweru z napędem wspomaganym elektrycznie, rower w którym bateria jest naładowana do poziomu min. 20 %;</w:t>
      </w:r>
    </w:p>
    <w:p w:rsidR="00000000" w:rsidDel="00000000" w:rsidP="00000000" w:rsidRDefault="00000000" w:rsidRPr="00000000" w14:paraId="00000023">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Rower niedostępny w SRM MEVO</w:t>
      </w:r>
      <w:r w:rsidDel="00000000" w:rsidR="00000000" w:rsidRPr="00000000">
        <w:rPr>
          <w:rFonts w:ascii="Calibri" w:cs="Calibri" w:eastAsia="Calibri" w:hAnsi="Calibri"/>
          <w:rtl w:val="0"/>
        </w:rPr>
        <w:t xml:space="preserve"> – rower nie znajdujący się w żadnym ze stanów określonych w pkt. 14;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numPr>
          <w:ilvl w:val="1"/>
          <w:numId w:val="51"/>
        </w:numPr>
        <w:spacing w:after="40" w:line="276" w:lineRule="auto"/>
        <w:ind w:left="709" w:hanging="425"/>
        <w:jc w:val="both"/>
        <w:rPr/>
      </w:pPr>
      <w:bookmarkStart w:colFirst="0" w:colLast="0" w:name="_heading=h.3rdcrjn" w:id="4"/>
      <w:bookmarkEnd w:id="4"/>
      <w:r w:rsidDel="00000000" w:rsidR="00000000" w:rsidRPr="00000000">
        <w:rPr>
          <w:rFonts w:ascii="Calibri" w:cs="Calibri" w:eastAsia="Calibri" w:hAnsi="Calibri"/>
          <w:b w:val="1"/>
          <w:rtl w:val="0"/>
        </w:rPr>
        <w:t xml:space="preserve">Rower warunkowo dostępny w SRM MEVO</w:t>
      </w:r>
      <w:r w:rsidDel="00000000" w:rsidR="00000000" w:rsidRPr="00000000">
        <w:rPr>
          <w:rFonts w:ascii="Calibri" w:cs="Calibri" w:eastAsia="Calibri" w:hAnsi="Calibri"/>
          <w:rtl w:val="0"/>
        </w:rPr>
        <w:t xml:space="preserve"> - rower sprawny z napędem wspomaganym elektrycznie w którym bateria jest naładowana poniżej poziomu 20% lub rozładowana;</w:t>
      </w:r>
      <w:r w:rsidDel="00000000" w:rsidR="00000000" w:rsidRPr="00000000">
        <w:rPr>
          <w:rtl w:val="0"/>
        </w:rPr>
        <w:t xml:space="preserve">    </w:t>
      </w:r>
    </w:p>
    <w:p w:rsidR="00000000" w:rsidDel="00000000" w:rsidP="00000000" w:rsidRDefault="00000000" w:rsidRPr="00000000" w14:paraId="00000025">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Rower sprawny</w:t>
      </w:r>
      <w:r w:rsidDel="00000000" w:rsidR="00000000" w:rsidRPr="00000000">
        <w:rPr>
          <w:rFonts w:ascii="Calibri" w:cs="Calibri" w:eastAsia="Calibri" w:hAnsi="Calibri"/>
          <w:rtl w:val="0"/>
        </w:rPr>
        <w:t xml:space="preserve"> - rower bez Usterek Istotnych;</w:t>
      </w:r>
    </w:p>
    <w:p w:rsidR="00000000" w:rsidDel="00000000" w:rsidP="00000000" w:rsidRDefault="00000000" w:rsidRPr="00000000" w14:paraId="00000026">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Rower standardowy</w:t>
      </w:r>
      <w:r w:rsidDel="00000000" w:rsidR="00000000" w:rsidRPr="00000000">
        <w:rPr>
          <w:rFonts w:ascii="Calibri" w:cs="Calibri" w:eastAsia="Calibri" w:hAnsi="Calibri"/>
          <w:rtl w:val="0"/>
        </w:rPr>
        <w:t xml:space="preserve"> - rower opisany w OPZ, zgodny z modelem przedstawionym w Koncepcji funkcjonowania; definicję Roweru standardowego może spełnić rower przekazany przez Zamawiającego, po przeprowadzeniu niezbędnych prac adaptacyjnych;</w:t>
      </w:r>
    </w:p>
    <w:p w:rsidR="00000000" w:rsidDel="00000000" w:rsidP="00000000" w:rsidRDefault="00000000" w:rsidRPr="00000000" w14:paraId="00000027">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Rower z napędem wspomaganym elektrycznie</w:t>
      </w:r>
      <w:r w:rsidDel="00000000" w:rsidR="00000000" w:rsidRPr="00000000">
        <w:rPr>
          <w:rFonts w:ascii="Calibri" w:cs="Calibri" w:eastAsia="Calibri" w:hAnsi="Calibri"/>
          <w:rtl w:val="0"/>
        </w:rPr>
        <w:t xml:space="preserve"> - rower opisany w OPZ, zgodny z modelem przedstawionym w Koncepcji funkcjonowania; definicję Roweru z napędem wspomaganym elektrycznie może spełnić rower przekazany przez Zamawiającego, po przeprowadzeniu niezbędnych prac adaptacyjnych;</w:t>
      </w:r>
    </w:p>
    <w:p w:rsidR="00000000" w:rsidDel="00000000" w:rsidP="00000000" w:rsidRDefault="00000000" w:rsidRPr="00000000" w14:paraId="00000028">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Rower cargo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 rower lub wózek rowerowy, dwu- </w:t>
      </w:r>
      <w:r w:rsidDel="00000000" w:rsidR="00000000" w:rsidRPr="00000000">
        <w:rPr>
          <w:rFonts w:ascii="Calibri" w:cs="Calibri" w:eastAsia="Calibri" w:hAnsi="Calibri"/>
          <w:rtl w:val="0"/>
        </w:rPr>
        <w:t xml:space="preserve">lub trójkołowy, </w:t>
      </w:r>
      <w:r w:rsidDel="00000000" w:rsidR="00000000" w:rsidRPr="00000000">
        <w:rPr>
          <w:rFonts w:ascii="Calibri" w:cs="Calibri" w:eastAsia="Calibri" w:hAnsi="Calibri"/>
          <w:highlight w:val="white"/>
          <w:rtl w:val="0"/>
        </w:rPr>
        <w:t xml:space="preserve">wyposażony w skrzynię ładunkową, służący do przewozu osób lub towarów.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t>
      </w:r>
      <w:r w:rsidDel="00000000" w:rsidR="00000000" w:rsidRPr="00000000">
        <w:rPr>
          <w:rtl w:val="0"/>
        </w:rPr>
      </w:r>
    </w:p>
    <w:p w:rsidR="00000000" w:rsidDel="00000000" w:rsidP="00000000" w:rsidRDefault="00000000" w:rsidRPr="00000000" w14:paraId="00000029">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SIWZ </w:t>
      </w:r>
      <w:r w:rsidDel="00000000" w:rsidR="00000000" w:rsidRPr="00000000">
        <w:rPr>
          <w:rFonts w:ascii="Calibri" w:cs="Calibri" w:eastAsia="Calibri" w:hAnsi="Calibri"/>
          <w:rtl w:val="0"/>
        </w:rPr>
        <w:t xml:space="preserve">– specyfikacja istotnych warunków zamówienia;  </w:t>
      </w:r>
    </w:p>
    <w:p w:rsidR="00000000" w:rsidDel="00000000" w:rsidP="00000000" w:rsidRDefault="00000000" w:rsidRPr="00000000" w14:paraId="0000002A">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SRM MEVO </w:t>
      </w:r>
      <w:r w:rsidDel="00000000" w:rsidR="00000000" w:rsidRPr="00000000">
        <w:rPr>
          <w:rFonts w:ascii="Calibri" w:cs="Calibri" w:eastAsia="Calibri" w:hAnsi="Calibri"/>
          <w:rtl w:val="0"/>
        </w:rPr>
        <w:t xml:space="preserve">– System Roweru Metropolitalnego MEVO – system wypożyczania rowerów, oparty na zasadach prawnych i organizacyjnych funkcjonowania, opisanych w SIWZ, który obejmuje w szczególności:</w:t>
      </w:r>
    </w:p>
    <w:p w:rsidR="00000000" w:rsidDel="00000000" w:rsidP="00000000" w:rsidRDefault="00000000" w:rsidRPr="00000000" w14:paraId="0000002B">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kompletne oprogramowanie do obsługi i monitorowania funkcjonowania systemu,</w:t>
      </w:r>
    </w:p>
    <w:p w:rsidR="00000000" w:rsidDel="00000000" w:rsidP="00000000" w:rsidRDefault="00000000" w:rsidRPr="00000000" w14:paraId="0000002C">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rowery przeznaczone do wypożyczania,</w:t>
      </w:r>
    </w:p>
    <w:p w:rsidR="00000000" w:rsidDel="00000000" w:rsidP="00000000" w:rsidRDefault="00000000" w:rsidRPr="00000000" w14:paraId="0000002D">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Stacje Postoju,</w:t>
      </w:r>
    </w:p>
    <w:p w:rsidR="00000000" w:rsidDel="00000000" w:rsidP="00000000" w:rsidRDefault="00000000" w:rsidRPr="00000000" w14:paraId="0000002E">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zasady prawne i organizacyjne funkcjonowania,</w:t>
      </w:r>
    </w:p>
    <w:p w:rsidR="00000000" w:rsidDel="00000000" w:rsidP="00000000" w:rsidRDefault="00000000" w:rsidRPr="00000000" w14:paraId="0000002F">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Centrum Kontaktu, </w:t>
      </w:r>
    </w:p>
    <w:p w:rsidR="00000000" w:rsidDel="00000000" w:rsidP="00000000" w:rsidRDefault="00000000" w:rsidRPr="00000000" w14:paraId="00000030">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system łączności zapewniający obsługę i przekazywanie informacji oraz obsługujący kontakty z Klientami,</w:t>
      </w:r>
    </w:p>
    <w:p w:rsidR="00000000" w:rsidDel="00000000" w:rsidP="00000000" w:rsidRDefault="00000000" w:rsidRPr="00000000" w14:paraId="00000031">
      <w:pPr>
        <w:numPr>
          <w:ilvl w:val="3"/>
          <w:numId w:val="8"/>
        </w:numPr>
        <w:spacing w:after="40" w:line="276" w:lineRule="auto"/>
        <w:ind w:left="1276" w:hanging="425"/>
        <w:jc w:val="both"/>
        <w:rPr>
          <w:rFonts w:ascii="Calibri" w:cs="Calibri" w:eastAsia="Calibri" w:hAnsi="Calibri"/>
        </w:rPr>
      </w:pPr>
      <w:r w:rsidDel="00000000" w:rsidR="00000000" w:rsidRPr="00000000">
        <w:rPr>
          <w:rFonts w:ascii="Calibri" w:cs="Calibri" w:eastAsia="Calibri" w:hAnsi="Calibri"/>
          <w:rtl w:val="0"/>
        </w:rPr>
        <w:t xml:space="preserve">Serwis Internetowy oraz Aplikację;</w:t>
      </w:r>
    </w:p>
    <w:p w:rsidR="00000000" w:rsidDel="00000000" w:rsidP="00000000" w:rsidRDefault="00000000" w:rsidRPr="00000000" w14:paraId="00000032">
      <w:pPr>
        <w:numPr>
          <w:ilvl w:val="1"/>
          <w:numId w:val="51"/>
        </w:numPr>
        <w:spacing w:after="40" w:line="276" w:lineRule="auto"/>
        <w:ind w:left="709" w:hanging="425"/>
        <w:jc w:val="both"/>
        <w:rPr>
          <w:rFonts w:ascii="Calibri" w:cs="Calibri" w:eastAsia="Calibri" w:hAnsi="Calibri"/>
        </w:rPr>
      </w:pPr>
      <w:bookmarkStart w:colFirst="0" w:colLast="0" w:name="_heading=h.30j0zll" w:id="5"/>
      <w:bookmarkEnd w:id="5"/>
      <w:r w:rsidDel="00000000" w:rsidR="00000000" w:rsidRPr="00000000">
        <w:rPr>
          <w:rFonts w:ascii="Calibri" w:cs="Calibri" w:eastAsia="Calibri" w:hAnsi="Calibri"/>
          <w:b w:val="1"/>
          <w:rtl w:val="0"/>
        </w:rPr>
        <w:t xml:space="preserve">Stacja Postoju –</w:t>
      </w:r>
      <w:r w:rsidDel="00000000" w:rsidR="00000000" w:rsidRPr="00000000">
        <w:rPr>
          <w:rFonts w:ascii="Calibri" w:cs="Calibri" w:eastAsia="Calibri" w:hAnsi="Calibri"/>
          <w:b w:val="1"/>
          <w:strike w:val="1"/>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miejsce przeznaczone</w:t>
      </w:r>
      <w:r w:rsidDel="00000000" w:rsidR="00000000" w:rsidRPr="00000000">
        <w:rPr>
          <w:rtl w:val="0"/>
        </w:rPr>
        <w:t xml:space="preserve"> </w:t>
      </w:r>
      <w:r w:rsidDel="00000000" w:rsidR="00000000" w:rsidRPr="00000000">
        <w:rPr>
          <w:rFonts w:ascii="Calibri" w:cs="Calibri" w:eastAsia="Calibri" w:hAnsi="Calibri"/>
          <w:rtl w:val="0"/>
        </w:rPr>
        <w:t xml:space="preserve">do postoju rowerów w SRM MEVO na którym </w:t>
      </w:r>
      <w:r w:rsidDel="00000000" w:rsidR="00000000" w:rsidRPr="00000000">
        <w:rPr>
          <w:rtl w:val="0"/>
        </w:rPr>
        <w:t xml:space="preserve">     </w:t>
      </w:r>
      <w:r w:rsidDel="00000000" w:rsidR="00000000" w:rsidRPr="00000000">
        <w:rPr>
          <w:rFonts w:ascii="Calibri" w:cs="Calibri" w:eastAsia="Calibri" w:hAnsi="Calibri"/>
          <w:rtl w:val="0"/>
        </w:rPr>
        <w:t xml:space="preserve">zainstalowane są  stojaki rowerowe oraz Totemy Informacyjne;</w:t>
      </w:r>
    </w:p>
    <w:p w:rsidR="00000000" w:rsidDel="00000000" w:rsidP="00000000" w:rsidRDefault="00000000" w:rsidRPr="00000000" w14:paraId="00000033">
      <w:pPr>
        <w:numPr>
          <w:ilvl w:val="1"/>
          <w:numId w:val="51"/>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Strefa Relokacji</w:t>
      </w:r>
      <w:r w:rsidDel="00000000" w:rsidR="00000000" w:rsidRPr="00000000">
        <w:rPr>
          <w:rFonts w:ascii="Calibri" w:cs="Calibri" w:eastAsia="Calibri" w:hAnsi="Calibri"/>
          <w:rtl w:val="0"/>
        </w:rPr>
        <w:t xml:space="preserve"> – grupa  Stacji Postoju z przypisaną bazową liczbą rowerów dla każdej Stacji Postoju;</w:t>
      </w:r>
    </w:p>
    <w:p w:rsidR="00000000" w:rsidDel="00000000" w:rsidP="00000000" w:rsidRDefault="00000000" w:rsidRPr="00000000" w14:paraId="00000034">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Serwis Internetowy </w:t>
      </w:r>
      <w:r w:rsidDel="00000000" w:rsidR="00000000" w:rsidRPr="00000000">
        <w:rPr>
          <w:rFonts w:ascii="Calibri" w:cs="Calibri" w:eastAsia="Calibri" w:hAnsi="Calibri"/>
          <w:rtl w:val="0"/>
        </w:rPr>
        <w:t xml:space="preserve">– strona internetowa służąca do obsługi i korzystania z SRM MEVO, opisany w OPZ;</w:t>
      </w:r>
    </w:p>
    <w:p w:rsidR="00000000" w:rsidDel="00000000" w:rsidP="00000000" w:rsidRDefault="00000000" w:rsidRPr="00000000" w14:paraId="00000035">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System Informatyczny do obsługi wypożyczeń </w:t>
      </w:r>
      <w:r w:rsidDel="00000000" w:rsidR="00000000" w:rsidRPr="00000000">
        <w:rPr>
          <w:rFonts w:ascii="Calibri" w:cs="Calibri" w:eastAsia="Calibri" w:hAnsi="Calibri"/>
          <w:rtl w:val="0"/>
        </w:rPr>
        <w:t xml:space="preserve">– system służący do obsługi i korzystania z SRM MEVO opisany w OPZ;</w:t>
      </w:r>
    </w:p>
    <w:p w:rsidR="00000000" w:rsidDel="00000000" w:rsidP="00000000" w:rsidRDefault="00000000" w:rsidRPr="00000000" w14:paraId="00000036">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System Informatyczny do nadzoru i raportowania</w:t>
      </w:r>
      <w:r w:rsidDel="00000000" w:rsidR="00000000" w:rsidRPr="00000000">
        <w:rPr>
          <w:rFonts w:ascii="Calibri" w:cs="Calibri" w:eastAsia="Calibri" w:hAnsi="Calibri"/>
          <w:rtl w:val="0"/>
        </w:rPr>
        <w:t xml:space="preserve"> - system służący do nadzoru i raportowania, opisany w OPZ. Zapewnia też naliczanie kar umownych; </w:t>
      </w:r>
    </w:p>
    <w:p w:rsidR="00000000" w:rsidDel="00000000" w:rsidP="00000000" w:rsidRDefault="00000000" w:rsidRPr="00000000" w14:paraId="00000037">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Środki Klienta</w:t>
      </w:r>
      <w:r w:rsidDel="00000000" w:rsidR="00000000" w:rsidRPr="00000000">
        <w:rPr>
          <w:rFonts w:ascii="Calibri" w:cs="Calibri" w:eastAsia="Calibri" w:hAnsi="Calibri"/>
          <w:rtl w:val="0"/>
        </w:rPr>
        <w:t xml:space="preserve"> – środki przypisane do konta Klienta, przeznaczone na usługi związane z korzystaniem z SRM MEVO;</w:t>
      </w:r>
    </w:p>
    <w:p w:rsidR="00000000" w:rsidDel="00000000" w:rsidP="00000000" w:rsidRDefault="00000000" w:rsidRPr="00000000" w14:paraId="00000038">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Wykorzystana opłata</w:t>
      </w:r>
      <w:r w:rsidDel="00000000" w:rsidR="00000000" w:rsidRPr="00000000">
        <w:rPr>
          <w:rFonts w:ascii="Calibri" w:cs="Calibri" w:eastAsia="Calibri" w:hAnsi="Calibri"/>
          <w:rtl w:val="0"/>
        </w:rPr>
        <w:t xml:space="preserve"> – opłata pobrana za faktycznie wykonane usługi związane z wypożyczeniem roweru przez Klienta;</w:t>
      </w:r>
    </w:p>
    <w:p w:rsidR="00000000" w:rsidDel="00000000" w:rsidP="00000000" w:rsidRDefault="00000000" w:rsidRPr="00000000" w14:paraId="00000039">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Umowa </w:t>
      </w:r>
      <w:r w:rsidDel="00000000" w:rsidR="00000000" w:rsidRPr="00000000">
        <w:rPr>
          <w:rFonts w:ascii="Calibri" w:cs="Calibri" w:eastAsia="Calibri" w:hAnsi="Calibri"/>
          <w:rtl w:val="0"/>
        </w:rPr>
        <w:t xml:space="preserve">– niniejsza umowa;</w:t>
      </w:r>
    </w:p>
    <w:p w:rsidR="00000000" w:rsidDel="00000000" w:rsidP="00000000" w:rsidRDefault="00000000" w:rsidRPr="00000000" w14:paraId="0000003A">
      <w:pPr>
        <w:numPr>
          <w:ilvl w:val="1"/>
          <w:numId w:val="51"/>
        </w:numPr>
        <w:spacing w:after="60" w:line="276" w:lineRule="auto"/>
        <w:ind w:left="709" w:hanging="425"/>
        <w:jc w:val="both"/>
        <w:rPr>
          <w:rFonts w:ascii="Calibri" w:cs="Calibri" w:eastAsia="Calibri" w:hAnsi="Calibri"/>
        </w:rPr>
      </w:pPr>
      <w:bookmarkStart w:colFirst="0" w:colLast="0" w:name="_heading=h.26in1rg" w:id="6"/>
      <w:bookmarkEnd w:id="6"/>
      <w:r w:rsidDel="00000000" w:rsidR="00000000" w:rsidRPr="00000000">
        <w:rPr>
          <w:rFonts w:ascii="Calibri" w:cs="Calibri" w:eastAsia="Calibri" w:hAnsi="Calibri"/>
          <w:b w:val="1"/>
          <w:rtl w:val="0"/>
        </w:rPr>
        <w:t xml:space="preserve">Usterka Istotna</w:t>
      </w:r>
      <w:r w:rsidDel="00000000" w:rsidR="00000000" w:rsidRPr="00000000">
        <w:rPr>
          <w:rFonts w:ascii="Calibri" w:cs="Calibri" w:eastAsia="Calibri" w:hAnsi="Calibri"/>
          <w:rtl w:val="0"/>
        </w:rPr>
        <w:t xml:space="preserve"> – rower nienadający się do jazdy - uszkodzenie: łańcucha/paska/Wału Kardana, opony, koła (w tym rozcentrowanie) w stopniu utrudniającym lub uniemożliwiającym jazdę, oświetlenia, siodełka, w tym sztycy podsiodłowej lub szybkozacisku, wspornika kierownicy, dzwonka, przerzutek, hamulców lub słabe działanie hamulców, uszkodzenie ramy, kierownicy, mechanizmu korbowego, zapięcia rowerowego, elektrozamka, komputera pokładowego, usterka napędu elektrycznego, inna usterka utrudniająca jazdę;</w:t>
      </w:r>
    </w:p>
    <w:p w:rsidR="00000000" w:rsidDel="00000000" w:rsidP="00000000" w:rsidRDefault="00000000" w:rsidRPr="00000000" w14:paraId="0000003B">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Usterka Nieistotna</w:t>
      </w:r>
      <w:r w:rsidDel="00000000" w:rsidR="00000000" w:rsidRPr="00000000">
        <w:rPr>
          <w:rFonts w:ascii="Calibri" w:cs="Calibri" w:eastAsia="Calibri" w:hAnsi="Calibri"/>
          <w:rtl w:val="0"/>
        </w:rPr>
        <w:t xml:space="preserve"> - rower nadający się do jazdy – uszkodzenie: błotnika, osłony łańcucha, nóżki, bagażnika, elementów roweru wymagających regulacji/dokręcenia mocowania np. dzwonka, elementu dokującego, niepowodujących braku bezpieczeństwa w trakcie korzystania z roweru, brak naklejek informacyjnych na rowerze, inna usterka nieutrudniająca jazdy.</w:t>
      </w:r>
    </w:p>
    <w:p w:rsidR="00000000" w:rsidDel="00000000" w:rsidP="00000000" w:rsidRDefault="00000000" w:rsidRPr="00000000" w14:paraId="0000003C">
      <w:pPr>
        <w:numPr>
          <w:ilvl w:val="1"/>
          <w:numId w:val="51"/>
        </w:numPr>
        <w:spacing w:after="6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Usterka estetyczna -</w:t>
      </w:r>
      <w:r w:rsidDel="00000000" w:rsidR="00000000" w:rsidRPr="00000000">
        <w:rPr>
          <w:rFonts w:ascii="Calibri" w:cs="Calibri" w:eastAsia="Calibri" w:hAnsi="Calibri"/>
          <w:rtl w:val="0"/>
        </w:rPr>
        <w:t xml:space="preserve"> rower nadający się do jazdy – rower oklejony materiałami graficznymi, w nienależytym stanie czystości lub z nienależytym stanem lakieru.</w:t>
      </w:r>
    </w:p>
    <w:p w:rsidR="00000000" w:rsidDel="00000000" w:rsidP="00000000" w:rsidRDefault="00000000" w:rsidRPr="00000000" w14:paraId="0000003D">
      <w:pPr>
        <w:spacing w:after="60" w:line="276" w:lineRule="auto"/>
        <w:ind w:left="76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1"/>
        <w:spacing w:after="60" w:line="276" w:lineRule="auto"/>
        <w:jc w:val="center"/>
        <w:rPr>
          <w:rFonts w:ascii="Calibri" w:cs="Calibri" w:eastAsia="Calibri" w:hAnsi="Calibri"/>
        </w:rPr>
      </w:pPr>
      <w:bookmarkStart w:colFirst="0" w:colLast="0" w:name="_heading=h.lnxbz9" w:id="7"/>
      <w:bookmarkEnd w:id="7"/>
      <w:r w:rsidDel="00000000" w:rsidR="00000000" w:rsidRPr="00000000">
        <w:rPr>
          <w:rFonts w:ascii="Calibri" w:cs="Calibri" w:eastAsia="Calibri" w:hAnsi="Calibri"/>
          <w:b w:val="1"/>
          <w:rtl w:val="0"/>
        </w:rPr>
        <w:t xml:space="preserve">§ 2 – Czas obowiązywania Umowy</w:t>
      </w:r>
      <w:r w:rsidDel="00000000" w:rsidR="00000000" w:rsidRPr="00000000">
        <w:rPr>
          <w:rtl w:val="0"/>
        </w:rPr>
      </w:r>
    </w:p>
    <w:p w:rsidR="00000000" w:rsidDel="00000000" w:rsidP="00000000" w:rsidRDefault="00000000" w:rsidRPr="00000000" w14:paraId="0000003F">
      <w:pPr>
        <w:widowControl w:val="0"/>
        <w:numPr>
          <w:ilvl w:val="0"/>
          <w:numId w:val="3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Umowa obowiązuje od dnia zawarcia przez okres </w:t>
      </w:r>
      <w:r w:rsidDel="00000000" w:rsidR="00000000" w:rsidRPr="00000000">
        <w:rPr>
          <w:rFonts w:ascii="Calibri" w:cs="Calibri" w:eastAsia="Calibri" w:hAnsi="Calibri"/>
          <w:b w:val="1"/>
          <w:rtl w:val="0"/>
        </w:rPr>
        <w:t xml:space="preserve">90</w:t>
      </w:r>
      <w:r w:rsidDel="00000000" w:rsidR="00000000" w:rsidRPr="00000000">
        <w:rPr>
          <w:rFonts w:ascii="Calibri" w:cs="Calibri" w:eastAsia="Calibri" w:hAnsi="Calibri"/>
          <w:rtl w:val="0"/>
        </w:rPr>
        <w:t xml:space="preserve"> miesięcy. </w:t>
      </w:r>
    </w:p>
    <w:p w:rsidR="00000000" w:rsidDel="00000000" w:rsidP="00000000" w:rsidRDefault="00000000" w:rsidRPr="00000000" w14:paraId="00000040">
      <w:pPr>
        <w:numPr>
          <w:ilvl w:val="0"/>
          <w:numId w:val="35"/>
        </w:numPr>
        <w:pBdr>
          <w:top w:space="0" w:sz="0" w:val="nil"/>
          <w:left w:space="0" w:sz="0" w:val="nil"/>
          <w:bottom w:space="0" w:sz="0" w:val="nil"/>
          <w:right w:space="0" w:sz="0" w:val="nil"/>
          <w:between w:space="0" w:sz="0" w:val="nil"/>
        </w:pBdr>
        <w:spacing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Przedmiot Umowy wykonywany będzie w czterech etapach:</w:t>
      </w:r>
    </w:p>
    <w:p w:rsidR="00000000" w:rsidDel="00000000" w:rsidP="00000000" w:rsidRDefault="00000000" w:rsidRPr="00000000" w14:paraId="00000041">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bookmarkStart w:colFirst="0" w:colLast="0" w:name="_heading=h.3as4poj" w:id="8"/>
      <w:bookmarkEnd w:id="8"/>
      <w:r w:rsidDel="00000000" w:rsidR="00000000" w:rsidRPr="00000000">
        <w:rPr>
          <w:rFonts w:ascii="Calibri" w:cs="Calibri" w:eastAsia="Calibri" w:hAnsi="Calibri"/>
          <w:rtl w:val="0"/>
        </w:rPr>
        <w:t xml:space="preserve">Etap I - w terminie do 14 miesięcy od dnia zawarcia Umowy nastąpi wewnętrzny rozruch systemu rozumiany jako udostępnienie Zamawiającemu 100 rowerów do testów przeprowadzanych przez wskazanych przez Zamawiającego testerów. W ramach rozruchu wewnętrznego testom podlegać będzie działanie: Systemu Informatycznego do obsługi wypożyczeni, Systemu Informatycznego do nadzoru i raportowania, Aplikacji, Rowerów standardowych oraz Rowerów ze wspomaganiem elektrycznym. Wewnętrzny rozruch testowy będzie trwał minimum 10 dni, ale nie dłużej niż 21 dni. Celem tego Etapu jest potwierdzenie należytego funkcjonowania SRM MEVO w zakresie wskazanych 100 rowerów. Zamawiający uzna Etap I za zakończony, gdy SRM MEVO, w określonym zakresie, funkcjonować będzie w sposób należyty i nieprzerwany przez okres minimum 48 godzin. Podczas Etapu I Zamawiający ma prawo zgłaszać uwagi i zastrzeżenia do SRM MEVO. Potwierdzeniem zakończenia Etapu I będzie podpisanie przez Strony  protokołu zakończenia Etapu I. </w:t>
      </w:r>
    </w:p>
    <w:p w:rsidR="00000000" w:rsidDel="00000000" w:rsidP="00000000" w:rsidRDefault="00000000" w:rsidRPr="00000000" w14:paraId="00000042">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Etap II - po zakończeniu Etapu I, w terminie do 7 dni, nastąpi zewnętrzny rozruch systemu na min. 50% całej floty rowerów, w ramach którego Wykonawca umożliwi rejestrację i korzystanie z SRM MEVO min. 80 tys. Klientów. Zamawiający zastrzega sobie prawo do określenia grupy użytkowników, którzy mogą brać udział w rozruchu testowym. Etap II będzie trwał  minimum 30 dni. Zamawiający uzna Etap II za zakończony, gdy SRM MEVO, w określonym zakresie,  funkcjonować będzie w sposób należyty i nieprzerwany przez okres minimum 24 dni. Podczas Etapu II Zamawiający ma prawo zgłaszać uwagi i zastrzeżenia do SRM MEVO. Potwierdzeniem zakończenia Etapu II będzie podpisanie przez Strony protokołu zakończenia Etapu II. </w:t>
      </w:r>
    </w:p>
    <w:p w:rsidR="00000000" w:rsidDel="00000000" w:rsidP="00000000" w:rsidRDefault="00000000" w:rsidRPr="00000000" w14:paraId="00000043">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Etap III - w terminie do 17</w:t>
      </w:r>
      <w:r w:rsidDel="00000000" w:rsidR="00000000" w:rsidRPr="00000000">
        <w:rPr>
          <w:rtl w:val="0"/>
        </w:rPr>
        <w:t xml:space="preserve"> </w:t>
      </w:r>
      <w:r w:rsidDel="00000000" w:rsidR="00000000" w:rsidRPr="00000000">
        <w:rPr>
          <w:rFonts w:ascii="Calibri" w:cs="Calibri" w:eastAsia="Calibri" w:hAnsi="Calibri"/>
          <w:rtl w:val="0"/>
        </w:rPr>
        <w:t xml:space="preserve">miesięcy od dnia zawarcia Umowy, jednak nie wcześniej niż po zakończeniu Etapu II Wykonawca  uruchomi całość SRM MEVO. Zamawiający uzna Etap III za wdrożony, gdy SRM MEVO funkcjonować będzie w sposób należyty i nieprzerwany przez okres minimum 7 dni. Podczas wdrożenia Etapu III Zamawiający ma prawo zgłaszać uwagi i zastrzeżenia do SRM MEVO. Potwierdzeniem wdrożenia Etapu III będzie podpisany przez Strony  protokół. </w:t>
      </w:r>
    </w:p>
    <w:p w:rsidR="00000000" w:rsidDel="00000000" w:rsidP="00000000" w:rsidRDefault="00000000" w:rsidRPr="00000000" w14:paraId="00000044">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Etap IV -  zwany etapem integracji systemu SRM MEVO z systemem FALA, który zostanie zrealizowany w ciągu 6 miesięcy od momentu działania obu systemów równolegle i jednocześnie. Przewidywanym jest, że system FALA rozpocznie swoje funkcjonowanie od kwietnia 2023 r., nie później jednak niż od końca czerwca 2023 r.</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W okresie od daty sporządzenia protokołu wdrożenia Etapu III, do dnia wygaśnięcia Umowy, Wykonawca obowiązany jest realizować czynności zarządzania i kompleksowej eksploatacji SRM MEVO, zgodnie z warunkami Umowy, SIWZ i Koncepcją funkcjonowania.</w:t>
      </w:r>
    </w:p>
    <w:p w:rsidR="00000000" w:rsidDel="00000000" w:rsidP="00000000" w:rsidRDefault="00000000" w:rsidRPr="00000000" w14:paraId="00000046">
      <w:pPr>
        <w:widowControl w:val="0"/>
        <w:numPr>
          <w:ilvl w:val="0"/>
          <w:numId w:val="3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w terminie 30 dni od daty zakończenia Umowy zdemontuje i usunie, we własnym zakresie i na własny koszt, wszelką infrastrukturę oraz rowery związane z SRM MEVO umieszczone w przestrzeni publicznej, która była wykorzystywana na potrzeby Umowy, z wyłączeniem stojaków rowerowych i Totemów Informacyjnych, będących własnością Zamawiającego, z zastrzeżeniem ust. 5.</w:t>
      </w:r>
    </w:p>
    <w:p w:rsidR="00000000" w:rsidDel="00000000" w:rsidP="00000000" w:rsidRDefault="00000000" w:rsidRPr="00000000" w14:paraId="00000047">
      <w:pPr>
        <w:widowControl w:val="0"/>
        <w:numPr>
          <w:ilvl w:val="0"/>
          <w:numId w:val="3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 wykonania czynności opisanych w ust. 3 zostanie sporządzony protokół.</w:t>
      </w:r>
    </w:p>
    <w:p w:rsidR="00000000" w:rsidDel="00000000" w:rsidP="00000000" w:rsidRDefault="00000000" w:rsidRPr="00000000" w14:paraId="00000048">
      <w:pPr>
        <w:widowControl w:val="0"/>
        <w:numPr>
          <w:ilvl w:val="0"/>
          <w:numId w:val="3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Strony wskazują, iż Zamawiający, po upływie okresu, o który mowa w  § 2 ust. 1 Umowy, uprawniony będzie do nabycia od Wykonawcy tej części infrastruktury związanej z SRM MEVO (w szczególności Stacji Postoju, Stojaków i Totemów Informacyjnych), która stanowi własność Wykonawcy. Zamawiający ma prawo kupić określoną przez siebie część infrastruktury. Wykonawca zwolniony będzie z obowiązku demontażu zakupionej infrastruktury (lub jej części) w takim zakresie, w jakim Zamawiający skorzysta z prawa do nabycia. Strony podejmą negocjacje dotyczące ceny przedmiotowej infrastruktury, przy czym cena jednostkowa za poszczególne elementy infrastruktury nie przekroczy cen wskazanych przez Wykonawcę w Formularzu cenowym załączonym do oferty. W przypadku dokonania przez Zamawiającego zakupu infrastruktury zgodnie z postanowieniami niniejszego ustępu, Wykonawca udzieli Zamawiającemu 1-letniej rękojmi na zakupione elementy infrastruktury liczonej od daty dokonania nabycia. </w:t>
      </w:r>
    </w:p>
    <w:p w:rsidR="00000000" w:rsidDel="00000000" w:rsidP="00000000" w:rsidRDefault="00000000" w:rsidRPr="00000000" w14:paraId="00000049">
      <w:pPr>
        <w:widowControl w:val="0"/>
        <w:spacing w:after="6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1"/>
        <w:spacing w:after="60" w:line="276" w:lineRule="auto"/>
        <w:jc w:val="center"/>
        <w:rPr>
          <w:rFonts w:ascii="Calibri" w:cs="Calibri" w:eastAsia="Calibri" w:hAnsi="Calibri"/>
        </w:rPr>
      </w:pPr>
      <w:bookmarkStart w:colFirst="0" w:colLast="0" w:name="_heading=h.35nkun2" w:id="9"/>
      <w:bookmarkEnd w:id="9"/>
      <w:r w:rsidDel="00000000" w:rsidR="00000000" w:rsidRPr="00000000">
        <w:rPr>
          <w:rFonts w:ascii="Calibri" w:cs="Calibri" w:eastAsia="Calibri" w:hAnsi="Calibri"/>
          <w:b w:val="1"/>
          <w:rtl w:val="0"/>
        </w:rPr>
        <w:t xml:space="preserve">§ 3 – Przedmiot Umowy</w:t>
      </w:r>
      <w:r w:rsidDel="00000000" w:rsidR="00000000" w:rsidRPr="00000000">
        <w:rPr>
          <w:rtl w:val="0"/>
        </w:rPr>
      </w:r>
    </w:p>
    <w:p w:rsidR="00000000" w:rsidDel="00000000" w:rsidP="00000000" w:rsidRDefault="00000000" w:rsidRPr="00000000" w14:paraId="0000004B">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Przedmiotem Umowy jest usługa uruchomienia, zarządzania i eksploatacji SRM MEVO. Umowa realizowana będzie poprzez zapewnienie dodatkowej oraz dostosowanie istniejącej, będącej własnością Zamawiającego, infrastruktury tj.: floty rowerów, Stacji Postoju, wraz ze Stojakami rowerowymi i Totemami Informacyjnymi, zaprojektowanie, wykonanie, uruchomienie i zapewnienie funkcjonowania Systemu Informatycznego do nadzoru i raportowania oraz Systemu Informatycznego do obsługi wypożyczeń, przygotowanie Serwisu Internetowego oraz Aplikacji. Na dalszym etapie, przedmiotem Umowy jest zapewnienie usługi, polegającej na zarządzaniu i kompleksowej eksploatacji SRM MEVO, w taki sposób, aby każda osoba mogła zarejestrować się w systemie i korzystać z niego tj. wypożyczyć rower, według taryfy ustalonej przez Zamawiającego oraz dokonanie integracji z systemem FALA (nazwa techniczna: Platforma Zintegrowanych Usług Mobilności, dalej: PZUM) w celu umożliwienia pasażerom, posiadającym i zasilającym konto w systemie FALA, przemieszczającym się na podstawie wspólnego biletu różnymi rodzajami środków transportu zbiorowego, również podróżowanie z wykorzystaniem SRM MEVO wg taryfy SRM MEVO lub dedykowanej taryfy FALA.</w:t>
      </w:r>
      <w:r w:rsidDel="00000000" w:rsidR="00000000" w:rsidRPr="00000000">
        <w:rPr>
          <w:rFonts w:ascii="Calibri" w:cs="Calibri" w:eastAsia="Calibri" w:hAnsi="Calibri"/>
          <w:sz w:val="23"/>
          <w:szCs w:val="23"/>
          <w:rtl w:val="0"/>
        </w:rPr>
        <w:t xml:space="preserve"> </w:t>
      </w:r>
      <w:r w:rsidDel="00000000" w:rsidR="00000000" w:rsidRPr="00000000">
        <w:rPr>
          <w:rtl w:val="0"/>
        </w:rPr>
      </w:r>
    </w:p>
    <w:p w:rsidR="00000000" w:rsidDel="00000000" w:rsidP="00000000" w:rsidRDefault="00000000" w:rsidRPr="00000000" w14:paraId="0000004C">
      <w:pPr>
        <w:numPr>
          <w:ilvl w:val="0"/>
          <w:numId w:val="1"/>
        </w:numPr>
        <w:spacing w:after="60" w:line="276" w:lineRule="auto"/>
        <w:ind w:left="360" w:hanging="360"/>
        <w:jc w:val="both"/>
        <w:rPr>
          <w:rFonts w:ascii="Calibri" w:cs="Calibri" w:eastAsia="Calibri" w:hAnsi="Calibri"/>
        </w:rPr>
      </w:pPr>
      <w:bookmarkStart w:colFirst="0" w:colLast="0" w:name="_heading=h.1fob9te" w:id="10"/>
      <w:bookmarkEnd w:id="10"/>
      <w:r w:rsidDel="00000000" w:rsidR="00000000" w:rsidRPr="00000000">
        <w:rPr>
          <w:rFonts w:ascii="Calibri" w:cs="Calibri" w:eastAsia="Calibri" w:hAnsi="Calibri"/>
          <w:rtl w:val="0"/>
        </w:rPr>
        <w:t xml:space="preserve">Wykonawca uruchomi SRM MEVO oraz będzie świadczył usługę polegającą na zarządzaniu i kompleksowej eksploatacji SRM MEVO.</w:t>
      </w:r>
    </w:p>
    <w:p w:rsidR="00000000" w:rsidDel="00000000" w:rsidP="00000000" w:rsidRDefault="00000000" w:rsidRPr="00000000" w14:paraId="0000004D">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SRM MEVO ma funkcjonować w sposób ciągły, to jest przez 24 godziny na dobę w każdy dzień roku.</w:t>
      </w:r>
    </w:p>
    <w:p w:rsidR="00000000" w:rsidDel="00000000" w:rsidP="00000000" w:rsidRDefault="00000000" w:rsidRPr="00000000" w14:paraId="0000004E">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SRM MEVO będzie publicznie dostępny, co oznacza zapewnienie wszystkim zainteresowanym korzystania z niego wedle tych samych reguł (uzyskania statusu Klienta), przy zachowaniu jawności reguł korzystania z SRM MEVO.</w:t>
      </w:r>
    </w:p>
    <w:p w:rsidR="00000000" w:rsidDel="00000000" w:rsidP="00000000" w:rsidRDefault="00000000" w:rsidRPr="00000000" w14:paraId="0000004F">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Do obsługi SRM MEVO wykorzystywane będą tylko i wyłącznie pojazdy silnikowe spełniające normę min.  Euro 6 lub zeroemisyjne oraz Rowery cargo.</w:t>
      </w:r>
    </w:p>
    <w:p w:rsidR="00000000" w:rsidDel="00000000" w:rsidP="00000000" w:rsidRDefault="00000000" w:rsidRPr="00000000" w14:paraId="00000050">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Zamówienie obejmuje uzupełnienie istniejącej floty i infrastruktury SRM MEVO w taki sposób, aby łączna liczba elementów wynosiła:</w:t>
      </w:r>
    </w:p>
    <w:tbl>
      <w:tblPr>
        <w:tblStyle w:val="Table1"/>
        <w:tblW w:w="8647.0" w:type="dxa"/>
        <w:jc w:val="center"/>
        <w:tblLayout w:type="fixed"/>
        <w:tblLook w:val="0000"/>
      </w:tblPr>
      <w:tblGrid>
        <w:gridCol w:w="6538"/>
        <w:gridCol w:w="2109"/>
        <w:tblGridChange w:id="0">
          <w:tblGrid>
            <w:gridCol w:w="6538"/>
            <w:gridCol w:w="2109"/>
          </w:tblGrid>
        </w:tblGridChange>
      </w:tblGrid>
      <w:tr>
        <w:trPr>
          <w:trHeight w:val="454" w:hRule="atLeast"/>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1">
            <w:pPr>
              <w:widowControl w:val="0"/>
              <w:tabs>
                <w:tab w:val="left" w:pos="4331"/>
              </w:tabs>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NAZWA ELEMENTU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2">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WIELKOŚĆ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Rowery standardowe wraz z wyposażeniem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1000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Rowery z napędem wspomaganym elektrycznie wraz w wyposażeniem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7">
            <w:pPr>
              <w:widowControl w:val="0"/>
              <w:spacing w:after="60" w:line="276" w:lineRule="auto"/>
              <w:ind w:left="284" w:hanging="284"/>
              <w:rPr>
                <w:rFonts w:ascii="Calibri" w:cs="Calibri" w:eastAsia="Calibri" w:hAnsi="Calibri"/>
              </w:rPr>
            </w:pPr>
            <w:r w:rsidDel="00000000" w:rsidR="00000000" w:rsidRPr="00000000">
              <w:rPr>
                <w:rFonts w:ascii="Calibri" w:cs="Calibri" w:eastAsia="Calibri" w:hAnsi="Calibri"/>
                <w:rtl w:val="0"/>
              </w:rPr>
              <w:t xml:space="preserve">Liczba stacji obsługiwanych wyłącznie przez Rowery cargo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6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jednak nie więcej niż 717</w:t>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9">
            <w:pPr>
              <w:widowControl w:val="0"/>
              <w:spacing w:after="60" w:line="276" w:lineRule="auto"/>
              <w:ind w:left="284" w:hanging="284"/>
              <w:rPr>
                <w:rFonts w:ascii="Calibri" w:cs="Calibri" w:eastAsia="Calibri" w:hAnsi="Calibri"/>
              </w:rPr>
            </w:pPr>
            <w:r w:rsidDel="00000000" w:rsidR="00000000" w:rsidRPr="00000000">
              <w:rPr>
                <w:rFonts w:ascii="Calibri" w:cs="Calibri" w:eastAsia="Calibri" w:hAnsi="Calibri"/>
                <w:rtl w:val="0"/>
              </w:rPr>
              <w:t xml:space="preserve">Infrastruktura niezbędna do ładowania rowerów ze wspomaganiem elektrycznym (punkty ładowania)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6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jednak nie więcej niż 51</w:t>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B">
            <w:pPr>
              <w:widowControl w:val="0"/>
              <w:spacing w:after="6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Stacje Postoju (stojaki rowerowe</w:t>
            </w:r>
            <w:r w:rsidDel="00000000" w:rsidR="00000000" w:rsidRPr="00000000">
              <w:rPr>
                <w:rFonts w:ascii="Calibri" w:cs="Calibri" w:eastAsia="Calibri" w:hAnsi="Calibri"/>
                <w:vertAlign w:val="superscript"/>
                <w:rtl w:val="0"/>
              </w:rPr>
              <w:t xml:space="preserve">4</w:t>
            </w: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C">
            <w:pPr>
              <w:widowControl w:val="0"/>
              <w:spacing w:after="6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717 sztuk  (4377 szt.)</w:t>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D">
            <w:pPr>
              <w:widowControl w:val="0"/>
              <w:spacing w:after="6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Punkty serwisowania rowerów</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E">
            <w:pPr>
              <w:widowControl w:val="0"/>
              <w:spacing w:after="6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5</w:t>
            </w:r>
            <w:r w:rsidDel="00000000" w:rsidR="00000000" w:rsidRPr="00000000">
              <w:rPr>
                <w:rFonts w:ascii="Calibri" w:cs="Calibri" w:eastAsia="Calibri" w:hAnsi="Calibri"/>
                <w:rtl w:val="0"/>
              </w:rPr>
              <w:t xml:space="preserve">, jednak nie więcej niż 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Totemy Informacyjne Małe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717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Totemy Informacyjne Duże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45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Serwis Internetowy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Aplikacja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System Informatyczny służący do obsługi wypożyczeń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System Informatyczny  do nadzoru i raportowania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bl>
    <w:p w:rsidR="00000000" w:rsidDel="00000000" w:rsidP="00000000" w:rsidRDefault="00000000" w:rsidRPr="00000000" w14:paraId="0000006B">
      <w:pPr>
        <w:spacing w:after="60" w:line="276" w:lineRule="auto"/>
        <w:ind w:left="283" w:right="302" w:firstLine="0"/>
        <w:jc w:val="both"/>
        <w:rPr>
          <w:rFonts w:ascii="Calibri" w:cs="Calibri" w:eastAsia="Calibri" w:hAnsi="Calibri"/>
          <w:i w:val="1"/>
        </w:rPr>
      </w:pPr>
      <w:bookmarkStart w:colFirst="0" w:colLast="0" w:name="_heading=h.3znysh7" w:id="11"/>
      <w:bookmarkEnd w:id="11"/>
      <w:r w:rsidDel="00000000" w:rsidR="00000000" w:rsidRPr="00000000">
        <w:rPr>
          <w:rFonts w:ascii="Calibri" w:cs="Calibri" w:eastAsia="Calibri" w:hAnsi="Calibri"/>
          <w:i w:val="1"/>
          <w:vertAlign w:val="superscript"/>
          <w:rtl w:val="0"/>
        </w:rPr>
        <w:t xml:space="preserve">1</w:t>
      </w:r>
      <w:r w:rsidDel="00000000" w:rsidR="00000000" w:rsidRPr="00000000">
        <w:rPr>
          <w:rFonts w:ascii="Calibri" w:cs="Calibri" w:eastAsia="Calibri" w:hAnsi="Calibri"/>
          <w:i w:val="1"/>
          <w:rtl w:val="0"/>
        </w:rPr>
        <w:t xml:space="preserve"> – minimalna liczba bazowa rowerów z napędem wspomaganym elektrycznie, jaką w ofercie może zaoferować Wykonawca, wynosi 3099 szt., zaś liczba maksymalna – 3299 szt.</w:t>
      </w:r>
    </w:p>
    <w:p w:rsidR="00000000" w:rsidDel="00000000" w:rsidP="00000000" w:rsidRDefault="00000000" w:rsidRPr="00000000" w14:paraId="0000006C">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2</w:t>
      </w:r>
      <w:r w:rsidDel="00000000" w:rsidR="00000000" w:rsidRPr="00000000">
        <w:rPr>
          <w:rFonts w:ascii="Calibri" w:cs="Calibri" w:eastAsia="Calibri" w:hAnsi="Calibri"/>
          <w:i w:val="1"/>
          <w:rtl w:val="0"/>
        </w:rPr>
        <w:t xml:space="preserve"> - minimalna liczba, jaką w ofercie może zaoferować Wykonawca, wynosi 127 </w:t>
      </w:r>
    </w:p>
    <w:p w:rsidR="00000000" w:rsidDel="00000000" w:rsidP="00000000" w:rsidRDefault="00000000" w:rsidRPr="00000000" w14:paraId="0000006D">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3</w:t>
      </w:r>
      <w:r w:rsidDel="00000000" w:rsidR="00000000" w:rsidRPr="00000000">
        <w:rPr>
          <w:rFonts w:ascii="Calibri" w:cs="Calibri" w:eastAsia="Calibri" w:hAnsi="Calibri"/>
          <w:i w:val="1"/>
          <w:rtl w:val="0"/>
        </w:rPr>
        <w:t xml:space="preserve"> - minimalna liczba, jaką w ofercie może zaoferować Wykonawca, wynosi 31</w:t>
      </w:r>
    </w:p>
    <w:p w:rsidR="00000000" w:rsidDel="00000000" w:rsidP="00000000" w:rsidRDefault="00000000" w:rsidRPr="00000000" w14:paraId="0000006E">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4</w:t>
      </w:r>
      <w:r w:rsidDel="00000000" w:rsidR="00000000" w:rsidRPr="00000000">
        <w:rPr>
          <w:rFonts w:ascii="Calibri" w:cs="Calibri" w:eastAsia="Calibri" w:hAnsi="Calibri"/>
          <w:i w:val="1"/>
          <w:rtl w:val="0"/>
        </w:rPr>
        <w:t xml:space="preserve">-- liczba Miejsc parkingowych dla całego systemu powinna wynosić min. 2 na każdy rower. Przyjmuje się, że jeden stojak rowerowy zapewnia 2 miejsca parkingowe.</w:t>
      </w:r>
    </w:p>
    <w:p w:rsidR="00000000" w:rsidDel="00000000" w:rsidP="00000000" w:rsidRDefault="00000000" w:rsidRPr="00000000" w14:paraId="0000006F">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5</w:t>
      </w:r>
      <w:r w:rsidDel="00000000" w:rsidR="00000000" w:rsidRPr="00000000">
        <w:rPr>
          <w:rFonts w:ascii="Calibri" w:cs="Calibri" w:eastAsia="Calibri" w:hAnsi="Calibri"/>
          <w:i w:val="1"/>
          <w:rtl w:val="0"/>
        </w:rPr>
        <w:t xml:space="preserve"> - minimalna liczba, jaką w ofercie może zaoferować Wykonawca wynosi 3 </w:t>
      </w:r>
    </w:p>
    <w:p w:rsidR="00000000" w:rsidDel="00000000" w:rsidP="00000000" w:rsidRDefault="00000000" w:rsidRPr="00000000" w14:paraId="00000070">
      <w:pPr>
        <w:numPr>
          <w:ilvl w:val="0"/>
          <w:numId w:val="1"/>
        </w:numPr>
        <w:spacing w:after="60" w:line="276" w:lineRule="auto"/>
        <w:ind w:left="360" w:hanging="360"/>
        <w:jc w:val="both"/>
        <w:rPr>
          <w:rFonts w:ascii="Calibri" w:cs="Calibri" w:eastAsia="Calibri" w:hAnsi="Calibri"/>
        </w:rPr>
      </w:pPr>
      <w:bookmarkStart w:colFirst="0" w:colLast="0" w:name="_heading=h.1pxezwc" w:id="12"/>
      <w:bookmarkEnd w:id="12"/>
      <w:r w:rsidDel="00000000" w:rsidR="00000000" w:rsidRPr="00000000">
        <w:rPr>
          <w:rFonts w:ascii="Calibri" w:cs="Calibri" w:eastAsia="Calibri" w:hAnsi="Calibri"/>
          <w:rtl w:val="0"/>
        </w:rPr>
        <w:t xml:space="preserve">Ustala się następujące zasady związane z przekazaniem Wykonawcy przez Zamawiającego rowerów własnych:</w:t>
      </w:r>
    </w:p>
    <w:p w:rsidR="00000000" w:rsidDel="00000000" w:rsidP="00000000" w:rsidRDefault="00000000" w:rsidRPr="00000000" w14:paraId="00000071">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Zamawiający przekaże Wykonawcy 1194 szt. rowerów własnych. </w:t>
      </w:r>
      <w:r w:rsidDel="00000000" w:rsidR="00000000" w:rsidRPr="00000000">
        <w:rPr>
          <w:rFonts w:ascii="Calibri" w:cs="Calibri" w:eastAsia="Calibri" w:hAnsi="Calibri"/>
          <w:color w:val="222222"/>
          <w:highlight w:val="white"/>
          <w:rtl w:val="0"/>
        </w:rPr>
        <w:t xml:space="preserve">Rowery te przechodzą pod zarząd Wykonawcy w ciągu 7 dni od dnia podpisania umowy i od tego czasu Wykonawca ma obowiązek ich utrzymania, serwisowania i ładowania baterii. Będą one dostępne </w:t>
      </w:r>
      <w:r w:rsidDel="00000000" w:rsidR="00000000" w:rsidRPr="00000000">
        <w:rPr>
          <w:rFonts w:ascii="Calibri" w:cs="Calibri" w:eastAsia="Calibri" w:hAnsi="Calibri"/>
          <w:rtl w:val="0"/>
        </w:rPr>
        <w:t xml:space="preserve">do odbioru przez Wykonawcę w ciągu 3 dni od daty podpisania Umowy i winny zostać odebrane przez Wykonawcę nie później niż w terminie 2 miesięcy od daty podpisania Umowy. Raport nt. stanu technicznego każdego z rowerów stanowi załącznik nr 5 do OPZ. </w:t>
      </w:r>
    </w:p>
    <w:p w:rsidR="00000000" w:rsidDel="00000000" w:rsidP="00000000" w:rsidRDefault="00000000" w:rsidRPr="00000000" w14:paraId="00000072">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Rowery udostępnione Wykonawcy przez Zamawiającego mogą być wykorzystane według uznania Wykonawcy jako rowery zwykłe lub rowery elektryczne. W przypadku, gdy rowery te będą przeznaczone do wykorzystania jako Rowery standardowe, Wykonawca zdemontuje na własny koszt wszystkie elementy z ww. rowerów, które są zbędne w Rowerze standardowym tj. silnik, akumulator, elektronika, okablowanie itp. Wykonawca przed rozruchem testowym Etapu I przekaże Zamawiającemu, w uzgodnionym terminie i wskazanym miejscu, wszystkie zdemontowane elementy. </w:t>
      </w:r>
    </w:p>
    <w:p w:rsidR="00000000" w:rsidDel="00000000" w:rsidP="00000000" w:rsidRDefault="00000000" w:rsidRPr="00000000" w14:paraId="00000073">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bookmarkStart w:colFirst="0" w:colLast="0" w:name="_heading=h.2jxsxqh" w:id="13"/>
      <w:bookmarkEnd w:id="13"/>
      <w:r w:rsidDel="00000000" w:rsidR="00000000" w:rsidRPr="00000000">
        <w:rPr>
          <w:rFonts w:ascii="Calibri" w:cs="Calibri" w:eastAsia="Calibri" w:hAnsi="Calibri"/>
          <w:rtl w:val="0"/>
        </w:rPr>
        <w:t xml:space="preserve">Zamawiający zastrzega, że z przekazanych Wykonawcy 1194 szt. rowerów własnych minii na tej podstawie nakazać Wykonawcy wymienić rower nie nadający się do dalszej eksploatacji na nowy</w:t>
      </w:r>
    </w:p>
    <w:p w:rsidR="00000000" w:rsidDel="00000000" w:rsidP="00000000" w:rsidRDefault="00000000" w:rsidRPr="00000000" w14:paraId="00000074">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bookmarkStart w:colFirst="0" w:colLast="0" w:name="_heading=h.r59pb47rd73o" w:id="14"/>
      <w:bookmarkEnd w:id="14"/>
      <w:r w:rsidDel="00000000" w:rsidR="00000000" w:rsidRPr="00000000">
        <w:rPr>
          <w:rFonts w:ascii="Calibri" w:cs="Calibri" w:eastAsia="Calibri" w:hAnsi="Calibri"/>
          <w:rtl w:val="0"/>
        </w:rPr>
        <w:t xml:space="preserve">Min. 1000 szt. musi być udostępnione Klientom w SRM MEVO od dnia uruchomienia SRM MEVO do czasu ich zniszczenia lub zużycia uniemożliwiającego dalszą eksploatację. Bieżąca ocena stanu zniszczenia uniemożliwiającego dalszą eksploatację  należy do Wykonawcy, przy czym Zamawiający uprawniony jest, w każdym czasie, samodzielnie bądź przy pomocy wyznaczonego przez niego podmiotu, do dokonania audytu stanu zniszczenia i zużycia ww. rowerów z punktu widzenia ich dalszej eksploatacji i wywiązania się przez Wykonawcę z obowiązku bieżącej oceny stanu rowerów i na tej podstawie może nakazać Wykonawcy wymienić rower nie nadający się do dalszej eksploatacji na nowy;</w:t>
      </w:r>
    </w:p>
    <w:p w:rsidR="00000000" w:rsidDel="00000000" w:rsidP="00000000" w:rsidRDefault="00000000" w:rsidRPr="00000000" w14:paraId="00000075">
      <w:pPr>
        <w:numPr>
          <w:ilvl w:val="2"/>
          <w:numId w:val="35"/>
        </w:numPr>
        <w:pBdr>
          <w:top w:space="0" w:sz="0" w:val="nil"/>
          <w:left w:space="0" w:sz="0" w:val="nil"/>
          <w:bottom w:space="0" w:sz="0" w:val="nil"/>
          <w:right w:space="0" w:sz="0" w:val="nil"/>
          <w:between w:space="0" w:sz="0" w:val="nil"/>
        </w:pBdr>
        <w:spacing w:line="276" w:lineRule="auto"/>
        <w:ind w:left="851" w:hanging="425"/>
        <w:jc w:val="both"/>
        <w:rPr>
          <w:rFonts w:ascii="Calibri" w:cs="Calibri" w:eastAsia="Calibri" w:hAnsi="Calibri"/>
        </w:rPr>
      </w:pPr>
      <w:bookmarkStart w:colFirst="0" w:colLast="0" w:name="_heading=h.z337ya" w:id="15"/>
      <w:bookmarkEnd w:id="15"/>
      <w:r w:rsidDel="00000000" w:rsidR="00000000" w:rsidRPr="00000000">
        <w:rPr>
          <w:rFonts w:ascii="Calibri" w:cs="Calibri" w:eastAsia="Calibri" w:hAnsi="Calibri"/>
          <w:rtl w:val="0"/>
        </w:rPr>
        <w:t xml:space="preserve">Rowery, z zastrzeżeniem wytycznych, o których mowa w lit. c), winny być udostępnione Klientom w SRM MEVO minimum rok. Po upływie tego okresu Strony (z ewentualnym udziałem wyznaczonego przez Zamawiającego podmiotu) dokonają obligatoryjnie wspólnego audytu stanu zniszczenia i zużycia ww. rowerów z punktu widzenia ich dalszej eksploatacji, zaś Wykonawca dostarczy, w miejsce roweru wycofanego z eksploatacji, rower zgodny z OPZ i prototypem przekazanym wraz z Koncepcją funkcjonowania, w ten sposób, iż:</w:t>
      </w:r>
    </w:p>
    <w:p w:rsidR="00000000" w:rsidDel="00000000" w:rsidP="00000000" w:rsidRDefault="00000000" w:rsidRPr="00000000" w14:paraId="00000076">
      <w:pPr>
        <w:numPr>
          <w:ilvl w:val="3"/>
          <w:numId w:val="35"/>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rPr>
      </w:pPr>
      <w:bookmarkStart w:colFirst="0" w:colLast="0" w:name="_heading=h.3fwokq0" w:id="16"/>
      <w:bookmarkEnd w:id="16"/>
      <w:r w:rsidDel="00000000" w:rsidR="00000000" w:rsidRPr="00000000">
        <w:rPr>
          <w:rFonts w:ascii="Calibri" w:cs="Calibri" w:eastAsia="Calibri" w:hAnsi="Calibri"/>
          <w:rtl w:val="0"/>
        </w:rPr>
        <w:t xml:space="preserve">W przypadku gdy rowery przekazane przez Zamawiającego będą przeznaczone do wykorzystania jako Rowery standardowe - Wykonawca dostarczy Rower standardowy, a </w:t>
      </w:r>
    </w:p>
    <w:p w:rsidR="00000000" w:rsidDel="00000000" w:rsidP="00000000" w:rsidRDefault="00000000" w:rsidRPr="00000000" w14:paraId="00000077">
      <w:pPr>
        <w:numPr>
          <w:ilvl w:val="3"/>
          <w:numId w:val="35"/>
        </w:numPr>
        <w:pBdr>
          <w:top w:space="0" w:sz="0" w:val="nil"/>
          <w:left w:space="0" w:sz="0" w:val="nil"/>
          <w:bottom w:space="0" w:sz="0" w:val="nil"/>
          <w:right w:space="0" w:sz="0" w:val="nil"/>
          <w:between w:space="0" w:sz="0" w:val="nil"/>
        </w:pBd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przypadku gdy rowery przekazane przez Zamawiającego będą przeznaczone do wykorzystania jako Rowery ze wspomaganiem elektrycznym - Wykonawca dostarczy Rower ze wspomaganiem elektrycznym. </w:t>
      </w:r>
    </w:p>
    <w:p w:rsidR="00000000" w:rsidDel="00000000" w:rsidP="00000000" w:rsidRDefault="00000000" w:rsidRPr="00000000" w14:paraId="00000078">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przekaże Wykonawcy własne Stacje Postoju, złożone ze stojaków rowerowych oraz Totemów Informacyjnych. Wykonawca oświadcza, iż miał możliwość zapoznania się ze stanem w/w elementów i nie wnosi wobec nich zastrzeżeń, a wszystkie usterki i wady zostaną skorygowane zgodnie z treścią art. 1 ust. 7 e) OPZ.  Zestawienie Stacji Postoju wraz z lokalizacjami GPS stanowią załącznik nr 3 do OPZ. Raport nt. stanu technicznego każdej ze stacji stanowi załącznik nr  4 do OPZ.</w:t>
      </w:r>
    </w:p>
    <w:p w:rsidR="00000000" w:rsidDel="00000000" w:rsidP="00000000" w:rsidRDefault="00000000" w:rsidRPr="00000000" w14:paraId="00000079">
      <w:pPr>
        <w:numPr>
          <w:ilvl w:val="0"/>
          <w:numId w:val="1"/>
        </w:numPr>
        <w:spacing w:after="60" w:line="276" w:lineRule="auto"/>
        <w:ind w:left="360" w:hanging="360"/>
        <w:jc w:val="both"/>
        <w:rPr>
          <w:rFonts w:ascii="Calibri" w:cs="Calibri" w:eastAsia="Calibri" w:hAnsi="Calibri"/>
        </w:rPr>
      </w:pPr>
      <w:bookmarkStart w:colFirst="0" w:colLast="0" w:name="_heading=h.49x2ik5" w:id="17"/>
      <w:bookmarkEnd w:id="17"/>
      <w:r w:rsidDel="00000000" w:rsidR="00000000" w:rsidRPr="00000000">
        <w:rPr>
          <w:rFonts w:ascii="Calibri" w:cs="Calibri" w:eastAsia="Calibri" w:hAnsi="Calibri"/>
          <w:rtl w:val="0"/>
        </w:rPr>
        <w:t xml:space="preserve">W ramach Przedmiotu Umowy Wykonawca:</w:t>
      </w:r>
    </w:p>
    <w:p w:rsidR="00000000" w:rsidDel="00000000" w:rsidP="00000000" w:rsidRDefault="00000000" w:rsidRPr="00000000" w14:paraId="0000007A">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wykona i uzgodni z Zamawiającym projekty wizualne rowerów, stojaków rowerowych, Totemów Informacyjnych, Serwisu Internetowego oraz Aplikacji, przy czym wszystkie elementy, w szczególności: rower, Totemy Informacyjne itp., SRM MEVO powinny być oznakowane logami SRM MEVO, Stowarzyszenia Obszar Metropolitalny Gdańsk-Gdynia-Sopot i powinny odznaczać się wysoką jakością,  w szczególności wykonaniem z trwałych materiałów;</w:t>
      </w:r>
    </w:p>
    <w:p w:rsidR="00000000" w:rsidDel="00000000" w:rsidP="00000000" w:rsidRDefault="00000000" w:rsidRPr="00000000" w14:paraId="0000007B">
      <w:pPr>
        <w:numPr>
          <w:ilvl w:val="0"/>
          <w:numId w:val="5"/>
        </w:numPr>
        <w:spacing w:after="60" w:line="276" w:lineRule="auto"/>
        <w:ind w:left="708" w:hanging="360"/>
        <w:jc w:val="both"/>
        <w:rPr>
          <w:rFonts w:ascii="Calibri" w:cs="Calibri" w:eastAsia="Calibri" w:hAnsi="Calibri"/>
        </w:rPr>
      </w:pPr>
      <w:bookmarkStart w:colFirst="0" w:colLast="0" w:name="_heading=h.2p2csry" w:id="18"/>
      <w:bookmarkEnd w:id="18"/>
      <w:r w:rsidDel="00000000" w:rsidR="00000000" w:rsidRPr="00000000">
        <w:rPr>
          <w:rFonts w:ascii="Calibri" w:cs="Calibri" w:eastAsia="Calibri" w:hAnsi="Calibri"/>
          <w:rtl w:val="0"/>
        </w:rPr>
        <w:t xml:space="preserve">wykona projekty dokumentów określających prawa i obowiązki Klientów, Zamawiającego oraz Wykonawcy, w szczególności regulamin korzystania z SRM MEVO, regulamin obsługi płatności i rozliczeń z Klientami oraz niezbędne dokumenty w zakresie polityki ochrony danych osobowych; z uwzględnieniem możliwości korzystania z konta pasażera w systemie FALA dla wypożyczenia roweru;      Wykonawca nie ponosi kosztów prowadzenia konta w systemie FALA;</w:t>
      </w:r>
    </w:p>
    <w:p w:rsidR="00000000" w:rsidDel="00000000" w:rsidP="00000000" w:rsidRDefault="00000000" w:rsidRPr="00000000" w14:paraId="0000007C">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będzie dokonywał relokacji rowerów zgodnie z wymaganiami relokacji; </w:t>
      </w:r>
    </w:p>
    <w:p w:rsidR="00000000" w:rsidDel="00000000" w:rsidP="00000000" w:rsidRDefault="00000000" w:rsidRPr="00000000" w14:paraId="0000007D">
      <w:pPr>
        <w:numPr>
          <w:ilvl w:val="0"/>
          <w:numId w:val="5"/>
        </w:numPr>
        <w:spacing w:after="60" w:line="276" w:lineRule="auto"/>
        <w:ind w:left="708" w:hanging="360"/>
        <w:jc w:val="both"/>
        <w:rPr>
          <w:rFonts w:ascii="Calibri" w:cs="Calibri" w:eastAsia="Calibri" w:hAnsi="Calibri"/>
        </w:rPr>
      </w:pPr>
      <w:bookmarkStart w:colFirst="0" w:colLast="0" w:name="_heading=h.1ksv4uv" w:id="19"/>
      <w:bookmarkEnd w:id="19"/>
      <w:r w:rsidDel="00000000" w:rsidR="00000000" w:rsidRPr="00000000">
        <w:rPr>
          <w:rFonts w:ascii="Calibri" w:cs="Calibri" w:eastAsia="Calibri" w:hAnsi="Calibri"/>
          <w:rtl w:val="0"/>
        </w:rPr>
        <w:t xml:space="preserve">otrzyma od Zamawiającego wykaz przewidzianych przez Zamawiającego Stacji Postoju obsługiwanych wyłącznie przez Rowery cargo i zobowiązany jest do uzgodnienia z Zamawiającym lokalizacji dodatkowych Stacji Postoju obsługiwanych przez Rowery cargo wynikających z oferty Wykonawcy</w:t>
      </w:r>
      <w:r w:rsidDel="00000000" w:rsidR="00000000" w:rsidRPr="00000000">
        <w:rPr>
          <w:rtl w:val="0"/>
        </w:rPr>
        <w:t xml:space="preserve">. </w:t>
      </w:r>
      <w:r w:rsidDel="00000000" w:rsidR="00000000" w:rsidRPr="00000000">
        <w:rPr>
          <w:rFonts w:ascii="Calibri" w:cs="Calibri" w:eastAsia="Calibri" w:hAnsi="Calibri"/>
          <w:rtl w:val="0"/>
        </w:rPr>
        <w:t xml:space="preserve">Obsługa stacji wyłącznie przez Rowery cargo nie dotyczy czynności związanych z relokacją floty rowerowej. Rowery cargo będą obsługiwać ww. Stacje Postoju w takim zakresie jak: wymiana baterii, serwis, czyszczenie, wszystkie czynności poza relokacją i przewozem roweru do serwisu.</w:t>
      </w:r>
    </w:p>
    <w:p w:rsidR="00000000" w:rsidDel="00000000" w:rsidP="00000000" w:rsidRDefault="00000000" w:rsidRPr="00000000" w14:paraId="0000007E">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przygotuje nowe Stacje Postoju, wraz ze stojakami rowerowymi i Totemami Informacyjnymi. W zakresie Stacji Postoju przekazanych przez Zamawiającego dokona odświeżenia powłoki lakierniczej, niezbędnych napraw oraz odtworzeń. </w:t>
      </w:r>
      <w:r w:rsidDel="00000000" w:rsidR="00000000" w:rsidRPr="00000000">
        <w:rPr>
          <w:rFonts w:ascii="Calibri" w:cs="Calibri" w:eastAsia="Calibri" w:hAnsi="Calibri"/>
          <w:highlight w:val="white"/>
          <w:rtl w:val="0"/>
        </w:rPr>
        <w:t xml:space="preserve">Zamawiający dopuszcza odświeżenie powłoki lakierniczej nanoszonej w technologii „na mokro”;</w:t>
      </w:r>
      <w:r w:rsidDel="00000000" w:rsidR="00000000" w:rsidRPr="00000000">
        <w:rPr>
          <w:rtl w:val="0"/>
        </w:rPr>
      </w:r>
    </w:p>
    <w:p w:rsidR="00000000" w:rsidDel="00000000" w:rsidP="00000000" w:rsidRDefault="00000000" w:rsidRPr="00000000" w14:paraId="0000007F">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dokona rozruchu testowego SRM MEVO; </w:t>
      </w:r>
    </w:p>
    <w:p w:rsidR="00000000" w:rsidDel="00000000" w:rsidP="00000000" w:rsidRDefault="00000000" w:rsidRPr="00000000" w14:paraId="00000080">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przeszkoli wskazane przez Zamawiającego osoby w zakresie użytkowania SRM MEVO oraz w zakresie korzystania  z Systemu Informatycznego do nadzoru i raportowania ;</w:t>
      </w:r>
    </w:p>
    <w:p w:rsidR="00000000" w:rsidDel="00000000" w:rsidP="00000000" w:rsidRDefault="00000000" w:rsidRPr="00000000" w14:paraId="00000081">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uruchomi, będzie zarządzał i eksploatował SRM MEVO;</w:t>
      </w:r>
    </w:p>
    <w:p w:rsidR="00000000" w:rsidDel="00000000" w:rsidP="00000000" w:rsidRDefault="00000000" w:rsidRPr="00000000" w14:paraId="00000082">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uruchomi i będzie prowadził Centrum Kontaktu; </w:t>
      </w:r>
    </w:p>
    <w:p w:rsidR="00000000" w:rsidDel="00000000" w:rsidP="00000000" w:rsidRDefault="00000000" w:rsidRPr="00000000" w14:paraId="00000083">
      <w:pPr>
        <w:numPr>
          <w:ilvl w:val="0"/>
          <w:numId w:val="5"/>
        </w:numPr>
        <w:spacing w:after="60" w:line="276" w:lineRule="auto"/>
        <w:ind w:left="708" w:hanging="360"/>
        <w:jc w:val="both"/>
        <w:rPr>
          <w:rFonts w:ascii="Calibri" w:cs="Calibri" w:eastAsia="Calibri" w:hAnsi="Calibri"/>
        </w:rPr>
      </w:pPr>
      <w:r w:rsidDel="00000000" w:rsidR="00000000" w:rsidRPr="00000000">
        <w:rPr>
          <w:rFonts w:ascii="Calibri" w:cs="Calibri" w:eastAsia="Calibri" w:hAnsi="Calibri"/>
          <w:rtl w:val="0"/>
        </w:rPr>
        <w:t xml:space="preserve">będzie prowadził postępowania reklamacyjne, obsługiwał płatności oraz dokonywał innych czynności niezbędnych do prawidłowego funkcjonowania SRM MEVO;</w:t>
      </w:r>
    </w:p>
    <w:p w:rsidR="00000000" w:rsidDel="00000000" w:rsidP="00000000" w:rsidRDefault="00000000" w:rsidRPr="00000000" w14:paraId="00000084">
      <w:pPr>
        <w:numPr>
          <w:ilvl w:val="0"/>
          <w:numId w:val="5"/>
        </w:numPr>
        <w:spacing w:after="60" w:line="276" w:lineRule="auto"/>
        <w:ind w:left="708" w:hanging="360"/>
        <w:jc w:val="both"/>
        <w:rPr>
          <w:rFonts w:ascii="Calibri" w:cs="Calibri" w:eastAsia="Calibri" w:hAnsi="Calibri"/>
        </w:rPr>
      </w:pPr>
      <w:bookmarkStart w:colFirst="0" w:colLast="0" w:name="_heading=h.3o7alnk" w:id="20"/>
      <w:bookmarkEnd w:id="20"/>
      <w:r w:rsidDel="00000000" w:rsidR="00000000" w:rsidRPr="00000000">
        <w:rPr>
          <w:rFonts w:ascii="Calibri" w:cs="Calibri" w:eastAsia="Calibri" w:hAnsi="Calibri"/>
          <w:highlight w:val="white"/>
          <w:rtl w:val="0"/>
        </w:rPr>
        <w:t xml:space="preserve">zapewni, że przedstawiciele Wykonawcy wykonujący czynności związane z relokacją oraz serwisem elementów SRM MEVO będą nosić odzież oznakowaną w taki sposób, że w widocznym miejscu będzie umieszczony logotyp SRM MEVO. Wykonawca uzgodni z Zamawiającym sposób ekspozycji logotypu SRM MEVO na elementach odzieży;</w:t>
      </w:r>
      <w:r w:rsidDel="00000000" w:rsidR="00000000" w:rsidRPr="00000000">
        <w:rPr>
          <w:rtl w:val="0"/>
        </w:rPr>
      </w:r>
    </w:p>
    <w:p w:rsidR="00000000" w:rsidDel="00000000" w:rsidP="00000000" w:rsidRDefault="00000000" w:rsidRPr="00000000" w14:paraId="00000085">
      <w:pPr>
        <w:numPr>
          <w:ilvl w:val="0"/>
          <w:numId w:val="5"/>
        </w:numPr>
        <w:spacing w:after="60" w:line="276" w:lineRule="auto"/>
        <w:ind w:left="708" w:hanging="360"/>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dokona integracji organizacyjno – funkcjonalnej SRM MEVO z systemem FALA na zasadach określonych w OPZ, z wykorzystaniem dedykowanego interfejsu API MEVO-FALA, w terminie 6 miesięcy od momentu działania obu systemów równolegle i jednocześnie.</w:t>
      </w:r>
    </w:p>
    <w:p w:rsidR="00000000" w:rsidDel="00000000" w:rsidP="00000000" w:rsidRDefault="00000000" w:rsidRPr="00000000" w14:paraId="00000086">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zobowiązany jest w ramach Umowy wykonać Przedmiot Umowy, zgodnie z warunkami Umowy, SIWZ oraz złożoną ofertą i Koncepcją funkcjonowania.</w:t>
      </w:r>
    </w:p>
    <w:p w:rsidR="00000000" w:rsidDel="00000000" w:rsidP="00000000" w:rsidRDefault="00000000" w:rsidRPr="00000000" w14:paraId="00000087">
      <w:pPr>
        <w:numPr>
          <w:ilvl w:val="0"/>
          <w:numId w:val="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zastrzega sobie możliwość skorzystania z prawa opcji na następujących zasadach:</w:t>
      </w:r>
    </w:p>
    <w:p w:rsidR="00000000" w:rsidDel="00000000" w:rsidP="00000000" w:rsidRDefault="00000000" w:rsidRPr="00000000" w14:paraId="00000088">
      <w:pPr>
        <w:numPr>
          <w:ilvl w:val="0"/>
          <w:numId w:val="14"/>
        </w:numPr>
        <w:spacing w:after="60" w:line="276" w:lineRule="auto"/>
        <w:ind w:left="714" w:hanging="357"/>
        <w:jc w:val="both"/>
        <w:rPr>
          <w:rFonts w:ascii="Calibri" w:cs="Calibri" w:eastAsia="Calibri" w:hAnsi="Calibri"/>
        </w:rPr>
      </w:pPr>
      <w:bookmarkStart w:colFirst="0" w:colLast="0" w:name="_heading=h.44sinio" w:id="21"/>
      <w:bookmarkEnd w:id="21"/>
      <w:r w:rsidDel="00000000" w:rsidR="00000000" w:rsidRPr="00000000">
        <w:rPr>
          <w:rFonts w:ascii="Calibri" w:cs="Calibri" w:eastAsia="Calibri" w:hAnsi="Calibri"/>
          <w:rtl w:val="0"/>
        </w:rPr>
        <w:t xml:space="preserve">prawo opcji polega na zwiększeniu liczby Stacji Postoju i rowerów w SRM MEVO z możliwością rozszerzenia systemu o gminy należące do Stowarzyszenia OMGGS i bezpośrednio graniczące z gminami będącymi już w SRM MEVO, w ramach którego zakłada się, że szacowana liczba dodatkowych Stacji Postoju oraz rowerów w SRM MEVO wynikających z prawa opcji wynosi do 230 Stacji Postoju, w tym 1000 stojaków rowerowych z Małymi Totemami Informacyjnymi, wraz z 1 200 sztuk Rowerów standardowych lub Rowerów ze wspomaganiem elektrycznym. Prawo opcji realizowane będzie na takich samych warunkach jak część podstawowa zamówienia.</w:t>
      </w:r>
      <w:r w:rsidDel="00000000" w:rsidR="00000000" w:rsidRPr="00000000">
        <w:rPr>
          <w:rtl w:val="0"/>
        </w:rPr>
        <w:t xml:space="preserve"> </w:t>
      </w:r>
      <w:r w:rsidDel="00000000" w:rsidR="00000000" w:rsidRPr="00000000">
        <w:rPr>
          <w:rFonts w:ascii="Calibri" w:cs="Calibri" w:eastAsia="Calibri" w:hAnsi="Calibri"/>
          <w:rtl w:val="0"/>
        </w:rPr>
        <w:t xml:space="preserve">W przypadku złożenia przez Zamawiającego oświadczenia o skorzystaniu z prawa opcji przed upływem 11 miesięcy od dnia zawarcia Umowy, Wykonawca zrealizuje zakres przewidziany prawem opcji w terminach przewidzianych dla Etapów dla zakresu podstawowego. W przypadku złożenia przez Zamawiającego oświadczenia o skorzystaniu z prawa opcji po upływie 11 miesięcy od dnia zawarcia Umowy, Wykonawca zrealizuje zakres przewidziany prawem opcji w terminie do 6 miesięcy od dnia złożenia przez Zamawiającego oświadczenia o skorzystaniu z prawa opcji;</w:t>
      </w:r>
    </w:p>
    <w:p w:rsidR="00000000" w:rsidDel="00000000" w:rsidP="00000000" w:rsidRDefault="00000000" w:rsidRPr="00000000" w14:paraId="00000089">
      <w:pPr>
        <w:numPr>
          <w:ilvl w:val="0"/>
          <w:numId w:val="1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ceny jednostkowe prawa opcji będą tożsame z zamówieniem podstawowym, określonym w Formularzu ofertowym;</w:t>
      </w:r>
    </w:p>
    <w:p w:rsidR="00000000" w:rsidDel="00000000" w:rsidP="00000000" w:rsidRDefault="00000000" w:rsidRPr="00000000" w14:paraId="0000008A">
      <w:pPr>
        <w:numPr>
          <w:ilvl w:val="0"/>
          <w:numId w:val="14"/>
        </w:numPr>
        <w:spacing w:after="60" w:line="276" w:lineRule="auto"/>
        <w:ind w:left="709" w:hanging="360"/>
        <w:jc w:val="both"/>
        <w:rPr>
          <w:rFonts w:ascii="Calibri" w:cs="Calibri" w:eastAsia="Calibri" w:hAnsi="Calibri"/>
        </w:rPr>
      </w:pPr>
      <w:bookmarkStart w:colFirst="0" w:colLast="0" w:name="_heading=h.23ckvvd" w:id="22"/>
      <w:bookmarkEnd w:id="22"/>
      <w:r w:rsidDel="00000000" w:rsidR="00000000" w:rsidRPr="00000000">
        <w:rPr>
          <w:rFonts w:ascii="Calibri" w:cs="Calibri" w:eastAsia="Calibri" w:hAnsi="Calibri"/>
          <w:rtl w:val="0"/>
        </w:rPr>
        <w:t xml:space="preserve">o zamiarze skorzystania z prawa opcji, Zamawiający poinformuje Wykonawcę w formie pisemnego oświadczenia. Oświadczenie o skorzystaniu z prawa opcji może zostać złożone przez Zamawiającego w terminie do 4 lat od daty zawarcia Umowy;</w:t>
      </w:r>
    </w:p>
    <w:p w:rsidR="00000000" w:rsidDel="00000000" w:rsidP="00000000" w:rsidRDefault="00000000" w:rsidRPr="00000000" w14:paraId="0000008B">
      <w:pPr>
        <w:numPr>
          <w:ilvl w:val="0"/>
          <w:numId w:val="14"/>
        </w:numPr>
        <w:spacing w:after="60" w:line="276" w:lineRule="auto"/>
        <w:ind w:left="709"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nie wcześniej niż po upływie 3 miesięcy od dnia zawarcia umowy</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Calibri" w:cs="Calibri" w:eastAsia="Calibri" w:hAnsi="Calibri"/>
          <w:rtl w:val="0"/>
        </w:rPr>
        <w:t xml:space="preserve">Zamawiający może skorzystać z prawa opcji w całości lub części. W przypadku skorzystania z prawa opcji w części, Zamawiający może realizować prawo opcji wielokrotnie, do wyczerpania ilości opisanej w pkt a);</w:t>
      </w:r>
    </w:p>
    <w:p w:rsidR="00000000" w:rsidDel="00000000" w:rsidP="00000000" w:rsidRDefault="00000000" w:rsidRPr="00000000" w14:paraId="0000008C">
      <w:pPr>
        <w:numPr>
          <w:ilvl w:val="0"/>
          <w:numId w:val="14"/>
        </w:numPr>
        <w:spacing w:after="6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skorzystanie z prawa opcji przez Zamawiającego będzie skutkowało obowiązkiem wykonania przez Wykonawcę świadczeń objętych prawem opcji w terminie i za wynagrodzeniem ustalonym zgodnie z powyższymi uregulowaniami. W pozostałym zakresie do realizacji zakresu zamówienia objętego prawem opcji odpowiednie zastosowanie będą miały postanowienia Umowy, SIWZ (w tym OPZ) i pozostała dokumentacja Postępowania.;</w:t>
      </w:r>
    </w:p>
    <w:p w:rsidR="00000000" w:rsidDel="00000000" w:rsidP="00000000" w:rsidRDefault="00000000" w:rsidRPr="00000000" w14:paraId="0000008D">
      <w:pPr>
        <w:numPr>
          <w:ilvl w:val="0"/>
          <w:numId w:val="14"/>
        </w:numPr>
        <w:spacing w:after="60" w:line="276" w:lineRule="auto"/>
        <w:ind w:left="709" w:hanging="360"/>
        <w:jc w:val="both"/>
        <w:rPr>
          <w:rFonts w:ascii="Calibri" w:cs="Calibri" w:eastAsia="Calibri" w:hAnsi="Calibri"/>
        </w:rPr>
      </w:pPr>
      <w:bookmarkStart w:colFirst="0" w:colLast="0" w:name="_heading=h.ihv636" w:id="23"/>
      <w:bookmarkEnd w:id="23"/>
      <w:r w:rsidDel="00000000" w:rsidR="00000000" w:rsidRPr="00000000">
        <w:rPr>
          <w:rFonts w:ascii="Calibri" w:cs="Calibri" w:eastAsia="Calibri" w:hAnsi="Calibri"/>
          <w:rtl w:val="0"/>
        </w:rPr>
        <w:t xml:space="preserve">w ramach prawa opcji Zamawiający ma prawo do zażądania rozmieszczenia Stacji Postoju oraz rowerów według własnego uznania, na terenie gmin należących do Stowarzyszenia OMGGS i bezpośrednio graniczących z gminami objętymi SRM MEVO;</w:t>
      </w:r>
    </w:p>
    <w:p w:rsidR="00000000" w:rsidDel="00000000" w:rsidP="00000000" w:rsidRDefault="00000000" w:rsidRPr="00000000" w14:paraId="0000008E">
      <w:pPr>
        <w:numPr>
          <w:ilvl w:val="0"/>
          <w:numId w:val="14"/>
        </w:numPr>
        <w:spacing w:after="6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skorzystanie przez Zamawiającego z prawa opcji skutkować będzie stosunkowym zwiększeniem miesięcznego wynagrodzenia Wykonawcy, związanego z eksploatacją i zarządzaniem SRM MEVO, zgodnie z cenami zawartymi w formularzu ofertowym. Postanowienia dotyczące zapłaty wynagrodzenia zawarte w Umowie, będą miały odpowiednie zastosowanie wobec rowerów dostarczonych w ramach prawa opcji;</w:t>
      </w:r>
    </w:p>
    <w:p w:rsidR="00000000" w:rsidDel="00000000" w:rsidP="00000000" w:rsidRDefault="00000000" w:rsidRPr="00000000" w14:paraId="0000008F">
      <w:pPr>
        <w:numPr>
          <w:ilvl w:val="0"/>
          <w:numId w:val="14"/>
        </w:numPr>
        <w:spacing w:after="6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nieskorzystanie przez Zamawiającego z prawa opcji oznacza rezygnację z tego prawa. Wykonawcy przysługuje wówczas jedynie wynagrodzenie za realizację zamówienia w ramach podstawowego zakresu przedmiotu zamówienia i nie przysługują mu jakiekolwiek roszczenia związane z brakiem skorzystania przez Zamawiającego z prawa opcji.</w:t>
      </w:r>
    </w:p>
    <w:p w:rsidR="00000000" w:rsidDel="00000000" w:rsidP="00000000" w:rsidRDefault="00000000" w:rsidRPr="00000000" w14:paraId="00000090">
      <w:pPr>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12. Zamawiający wymaga:</w:t>
      </w:r>
    </w:p>
    <w:p w:rsidR="00000000" w:rsidDel="00000000" w:rsidP="00000000" w:rsidRDefault="00000000" w:rsidRPr="00000000" w14:paraId="00000091">
      <w:pPr>
        <w:numPr>
          <w:ilvl w:val="0"/>
          <w:numId w:val="23"/>
        </w:numPr>
        <w:pBdr>
          <w:top w:space="0" w:sz="0" w:val="nil"/>
          <w:left w:space="0" w:sz="0" w:val="nil"/>
          <w:bottom w:space="0" w:sz="0" w:val="nil"/>
          <w:right w:space="0" w:sz="0" w:val="nil"/>
          <w:between w:space="0" w:sz="0" w:val="nil"/>
        </w:pBdr>
        <w:spacing w:after="60" w:line="276"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zatrudnienia na podstawie umowy o pracę, o której mowa w przepisie art. 29 ust. 3a uPzp, w okresie realizacji Umowy osób wykonujących następujące czynności:</w:t>
      </w:r>
    </w:p>
    <w:p w:rsidR="00000000" w:rsidDel="00000000" w:rsidP="00000000" w:rsidRDefault="00000000" w:rsidRPr="00000000" w14:paraId="00000092">
      <w:pPr>
        <w:widowControl w:val="0"/>
        <w:numPr>
          <w:ilvl w:val="0"/>
          <w:numId w:val="18"/>
        </w:numPr>
        <w:spacing w:after="60" w:line="276" w:lineRule="auto"/>
        <w:ind w:left="1077" w:hanging="226.00000000000009"/>
        <w:jc w:val="both"/>
        <w:rPr>
          <w:rFonts w:ascii="Calibri" w:cs="Calibri" w:eastAsia="Calibri" w:hAnsi="Calibri"/>
        </w:rPr>
      </w:pPr>
      <w:r w:rsidDel="00000000" w:rsidR="00000000" w:rsidRPr="00000000">
        <w:rPr>
          <w:rFonts w:ascii="Calibri" w:cs="Calibri" w:eastAsia="Calibri" w:hAnsi="Calibri"/>
          <w:rtl w:val="0"/>
        </w:rPr>
        <w:t xml:space="preserve">Pracowników fizycznych – wykonujących bezpośrednio wszystkie czynności fizyczne związane z realizacją prac serwisowych floty rowerowej;</w:t>
      </w:r>
    </w:p>
    <w:p w:rsidR="00000000" w:rsidDel="00000000" w:rsidP="00000000" w:rsidRDefault="00000000" w:rsidRPr="00000000" w14:paraId="00000093">
      <w:pPr>
        <w:widowControl w:val="0"/>
        <w:numPr>
          <w:ilvl w:val="0"/>
          <w:numId w:val="18"/>
        </w:numPr>
        <w:spacing w:after="60" w:line="276" w:lineRule="auto"/>
        <w:ind w:left="1077" w:hanging="360"/>
        <w:jc w:val="both"/>
        <w:rPr>
          <w:rFonts w:ascii="Calibri" w:cs="Calibri" w:eastAsia="Calibri" w:hAnsi="Calibri"/>
        </w:rPr>
      </w:pPr>
      <w:r w:rsidDel="00000000" w:rsidR="00000000" w:rsidRPr="00000000">
        <w:rPr>
          <w:rFonts w:ascii="Calibri" w:cs="Calibri" w:eastAsia="Calibri" w:hAnsi="Calibri"/>
          <w:rtl w:val="0"/>
        </w:rPr>
        <w:t xml:space="preserve">koordynatora projektu odpowiadającego za realizację kluczowej części zamówienia.</w:t>
      </w:r>
    </w:p>
    <w:p w:rsidR="00000000" w:rsidDel="00000000" w:rsidP="00000000" w:rsidRDefault="00000000" w:rsidRPr="00000000" w14:paraId="00000094">
      <w:pPr>
        <w:widowControl w:val="0"/>
        <w:numPr>
          <w:ilvl w:val="0"/>
          <w:numId w:val="23"/>
        </w:numPr>
        <w:pBdr>
          <w:top w:space="0" w:sz="0" w:val="nil"/>
          <w:left w:space="0" w:sz="0" w:val="nil"/>
          <w:bottom w:space="0" w:sz="0" w:val="nil"/>
          <w:right w:space="0" w:sz="0" w:val="nil"/>
          <w:between w:space="0" w:sz="0" w:val="nil"/>
        </w:pBdr>
        <w:spacing w:line="276" w:lineRule="auto"/>
        <w:ind w:left="770" w:hanging="360"/>
        <w:jc w:val="both"/>
        <w:rPr>
          <w:rFonts w:ascii="Calibri" w:cs="Calibri" w:eastAsia="Calibri" w:hAnsi="Calibri"/>
        </w:rPr>
      </w:pPr>
      <w:r w:rsidDel="00000000" w:rsidR="00000000" w:rsidRPr="00000000">
        <w:rPr>
          <w:rFonts w:ascii="Calibri" w:cs="Calibri" w:eastAsia="Calibri" w:hAnsi="Calibri"/>
          <w:rtl w:val="0"/>
        </w:rPr>
        <w:t xml:space="preserve">zatrudnienia przy realizacji zamówienia, przez cały okres jego realizacji, osób, o których mowa w art. 29 ust. 4 pkt. 1-4 uPzp, tj.:</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76" w:lineRule="auto"/>
        <w:ind w:left="770" w:firstLine="0"/>
        <w:jc w:val="both"/>
        <w:rPr>
          <w:rFonts w:ascii="Calibri" w:cs="Calibri" w:eastAsia="Calibri" w:hAnsi="Calibri"/>
        </w:rPr>
      </w:pPr>
      <w:r w:rsidDel="00000000" w:rsidR="00000000" w:rsidRPr="00000000">
        <w:rPr>
          <w:rFonts w:ascii="Calibri" w:cs="Calibri" w:eastAsia="Calibri" w:hAnsi="Calibri"/>
          <w:rtl w:val="0"/>
        </w:rPr>
        <w:t xml:space="preserve">1) bezrobotnych w rozumieniu ustawy z dnia 20 kwietnia 2004 r. o promocji zatrudnienia i instytucjach rynku pracy;</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ind w:left="770" w:firstLine="0"/>
        <w:jc w:val="both"/>
        <w:rPr>
          <w:rFonts w:ascii="Calibri" w:cs="Calibri" w:eastAsia="Calibri" w:hAnsi="Calibri"/>
        </w:rPr>
      </w:pPr>
      <w:r w:rsidDel="00000000" w:rsidR="00000000" w:rsidRPr="00000000">
        <w:rPr>
          <w:rFonts w:ascii="Calibri" w:cs="Calibri" w:eastAsia="Calibri" w:hAnsi="Calibri"/>
          <w:rtl w:val="0"/>
        </w:rPr>
        <w:t xml:space="preserve">2) młodocianych, o których mowa w przepisach prawa pracy, w celu przygotowania zawodowego;</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76" w:lineRule="auto"/>
        <w:ind w:left="770" w:firstLine="0"/>
        <w:jc w:val="both"/>
        <w:rPr>
          <w:rFonts w:ascii="Calibri" w:cs="Calibri" w:eastAsia="Calibri" w:hAnsi="Calibri"/>
        </w:rPr>
      </w:pPr>
      <w:r w:rsidDel="00000000" w:rsidR="00000000" w:rsidRPr="00000000">
        <w:rPr>
          <w:rFonts w:ascii="Calibri" w:cs="Calibri" w:eastAsia="Calibri" w:hAnsi="Calibri"/>
          <w:rtl w:val="0"/>
        </w:rPr>
        <w:t xml:space="preserve">3) osób niepełnosprawnych w rozumieniu ustawy z dnia 27 sierpnia 1997 r. o rehabilitacji zawodowej i społecznej oraz zatrudnianiu osób niepełnosprawnych;</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ind w:left="770" w:firstLine="0"/>
        <w:jc w:val="both"/>
        <w:rPr>
          <w:rFonts w:ascii="Calibri" w:cs="Calibri" w:eastAsia="Calibri" w:hAnsi="Calibri"/>
        </w:rPr>
      </w:pPr>
      <w:r w:rsidDel="00000000" w:rsidR="00000000" w:rsidRPr="00000000">
        <w:rPr>
          <w:rFonts w:ascii="Calibri" w:cs="Calibri" w:eastAsia="Calibri" w:hAnsi="Calibri"/>
          <w:rtl w:val="0"/>
        </w:rPr>
        <w:t xml:space="preserve">4) innych osób niż określone w pkt 1, 2 lub 3, o których mowa w ustawie z dnia 13 czerwca 2003 r. o zatrudnieniu socjalnym (Dz.U. z 2019 r. poz. 217 i 730) lub we właściwych przepisach państw członkowskich Unii Europejskiej lub Europejskiego Obszaru Gospodarczego,</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60" w:line="276" w:lineRule="auto"/>
        <w:ind w:left="770" w:firstLine="0"/>
        <w:jc w:val="both"/>
        <w:rPr>
          <w:rFonts w:ascii="Calibri" w:cs="Calibri" w:eastAsia="Calibri" w:hAnsi="Calibri"/>
        </w:rPr>
      </w:pPr>
      <w:bookmarkStart w:colFirst="0" w:colLast="0" w:name="_heading=h.1v1yuxt" w:id="24"/>
      <w:bookmarkEnd w:id="24"/>
      <w:r w:rsidDel="00000000" w:rsidR="00000000" w:rsidRPr="00000000">
        <w:rPr>
          <w:rFonts w:ascii="Calibri" w:cs="Calibri" w:eastAsia="Calibri" w:hAnsi="Calibri"/>
          <w:u w:val="single"/>
          <w:rtl w:val="0"/>
        </w:rPr>
        <w:t xml:space="preserve">w liczbie co najmniej 5% (</w:t>
      </w:r>
      <w:r w:rsidDel="00000000" w:rsidR="00000000" w:rsidRPr="00000000">
        <w:rPr>
          <w:rFonts w:ascii="Calibri" w:cs="Calibri" w:eastAsia="Calibri" w:hAnsi="Calibri"/>
          <w:rtl w:val="0"/>
        </w:rPr>
        <w:t xml:space="preserve">w przeliczeniu na pełen etat) ogólnej liczby osób zatrudnionych przy realizacji zamówienia</w:t>
      </w:r>
    </w:p>
    <w:p w:rsidR="00000000" w:rsidDel="00000000" w:rsidP="00000000" w:rsidRDefault="00000000" w:rsidRPr="00000000" w14:paraId="0000009A">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13. Wykonawca jest zobowiązany osobiście wykonać, zastrzeżone przez Zamawiającego, zgodnie z art. 36a ust. 2 uPzp, kluczowe części zamówienia tj. nadzór nad całym funkcjonowaniem systemu SRM MEVO, sprawowanym przy pomocy osób dedykowanych do realizacji zamówienia,  w tym:</w:t>
      </w:r>
    </w:p>
    <w:p w:rsidR="00000000" w:rsidDel="00000000" w:rsidP="00000000" w:rsidRDefault="00000000" w:rsidRPr="00000000" w14:paraId="0000009B">
      <w:pPr>
        <w:numPr>
          <w:ilvl w:val="1"/>
          <w:numId w:val="19"/>
        </w:numPr>
        <w:spacing w:after="60" w:line="276" w:lineRule="auto"/>
        <w:ind w:left="1080" w:hanging="360"/>
        <w:jc w:val="both"/>
        <w:rPr>
          <w:rFonts w:ascii="Calibri" w:cs="Calibri" w:eastAsia="Calibri" w:hAnsi="Calibri"/>
        </w:rPr>
      </w:pPr>
      <w:bookmarkStart w:colFirst="0" w:colLast="0" w:name="_heading=h.4d34og8" w:id="25"/>
      <w:bookmarkEnd w:id="25"/>
      <w:r w:rsidDel="00000000" w:rsidR="00000000" w:rsidRPr="00000000">
        <w:rPr>
          <w:rFonts w:ascii="Calibri" w:cs="Calibri" w:eastAsia="Calibri" w:hAnsi="Calibri"/>
          <w:rtl w:val="0"/>
        </w:rPr>
        <w:t xml:space="preserve">uzgodnienie projektów wizualnych wszystkich elementów SRM MEVO (rowerów, Totemów Informacyjnych, Serwisu Internetowego i Aplikacji);</w:t>
      </w:r>
    </w:p>
    <w:p w:rsidR="00000000" w:rsidDel="00000000" w:rsidP="00000000" w:rsidRDefault="00000000" w:rsidRPr="00000000" w14:paraId="0000009C">
      <w:pPr>
        <w:numPr>
          <w:ilvl w:val="1"/>
          <w:numId w:val="19"/>
        </w:numPr>
        <w:spacing w:after="60" w:line="276" w:lineRule="auto"/>
        <w:ind w:left="1080" w:hanging="360"/>
        <w:jc w:val="both"/>
        <w:rPr>
          <w:rFonts w:ascii="Calibri" w:cs="Calibri" w:eastAsia="Calibri" w:hAnsi="Calibri"/>
        </w:rPr>
      </w:pPr>
      <w:bookmarkStart w:colFirst="0" w:colLast="0" w:name="_heading=h.32hioqz" w:id="26"/>
      <w:bookmarkEnd w:id="26"/>
      <w:r w:rsidDel="00000000" w:rsidR="00000000" w:rsidRPr="00000000">
        <w:rPr>
          <w:rFonts w:ascii="Calibri" w:cs="Calibri" w:eastAsia="Calibri" w:hAnsi="Calibri"/>
          <w:rtl w:val="0"/>
        </w:rPr>
        <w:t xml:space="preserve">zaprojektowanie funkcjonowania Systemu Informatycznego do obsługi wypożyczeń oraz Systemu Informatycznego do nadzoru i raportowania;</w:t>
      </w:r>
    </w:p>
    <w:p w:rsidR="00000000" w:rsidDel="00000000" w:rsidP="00000000" w:rsidRDefault="00000000" w:rsidRPr="00000000" w14:paraId="0000009D">
      <w:pPr>
        <w:numPr>
          <w:ilvl w:val="1"/>
          <w:numId w:val="19"/>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uzgodnienie z Zamawiającym treści dokumentów określających prawa i obowiązki Klientów;</w:t>
      </w:r>
    </w:p>
    <w:p w:rsidR="00000000" w:rsidDel="00000000" w:rsidP="00000000" w:rsidRDefault="00000000" w:rsidRPr="00000000" w14:paraId="0000009E">
      <w:pPr>
        <w:numPr>
          <w:ilvl w:val="1"/>
          <w:numId w:val="19"/>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przeprowadzenie rozruchu testowego SRM MEVO;</w:t>
      </w:r>
    </w:p>
    <w:p w:rsidR="00000000" w:rsidDel="00000000" w:rsidP="00000000" w:rsidRDefault="00000000" w:rsidRPr="00000000" w14:paraId="0000009F">
      <w:pPr>
        <w:numPr>
          <w:ilvl w:val="1"/>
          <w:numId w:val="19"/>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nadzór, raportowanie, zarządzanie i eksploatacja SRM MEVO;</w:t>
      </w:r>
    </w:p>
    <w:p w:rsidR="00000000" w:rsidDel="00000000" w:rsidP="00000000" w:rsidRDefault="00000000" w:rsidRPr="00000000" w14:paraId="000000A0">
      <w:pPr>
        <w:numPr>
          <w:ilvl w:val="1"/>
          <w:numId w:val="19"/>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obsługa Centrum Kontaktu;</w:t>
      </w:r>
    </w:p>
    <w:p w:rsidR="00000000" w:rsidDel="00000000" w:rsidP="00000000" w:rsidRDefault="00000000" w:rsidRPr="00000000" w14:paraId="000000A1">
      <w:pPr>
        <w:numPr>
          <w:ilvl w:val="1"/>
          <w:numId w:val="19"/>
        </w:numPr>
        <w:spacing w:after="60" w:line="276" w:lineRule="auto"/>
        <w:ind w:left="1080" w:hanging="360"/>
        <w:jc w:val="both"/>
        <w:rPr>
          <w:rFonts w:ascii="Calibri" w:cs="Calibri" w:eastAsia="Calibri" w:hAnsi="Calibri"/>
        </w:rPr>
      </w:pPr>
      <w:bookmarkStart w:colFirst="0" w:colLast="0" w:name="_heading=h.1hmsyys" w:id="27"/>
      <w:bookmarkEnd w:id="27"/>
      <w:r w:rsidDel="00000000" w:rsidR="00000000" w:rsidRPr="00000000">
        <w:rPr>
          <w:rFonts w:ascii="Calibri" w:cs="Calibri" w:eastAsia="Calibri" w:hAnsi="Calibri"/>
          <w:rtl w:val="0"/>
        </w:rPr>
        <w:t xml:space="preserve">współpraca z potencjalnymi Podwykonawcami tj. w szczególności podział i weryfikacja wykonania powierzonych zadań, rozliczenia finansowe.</w:t>
      </w:r>
    </w:p>
    <w:p w:rsidR="00000000" w:rsidDel="00000000" w:rsidP="00000000" w:rsidRDefault="00000000" w:rsidRPr="00000000" w14:paraId="000000A2">
      <w:pPr>
        <w:widowControl w:val="0"/>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14. W trakcie realizacji Umowy, Zamawiający uprawniony jest do wykonywania czynności kontrolnych wobec Wykonawcy odnośnie spełniania przez Wykonawcę lub Podwykonawcę wymogów zatrudnienia, o których mowa w ust. 12. Zamawiający uprawniony jest w szczególności do:</w:t>
      </w:r>
    </w:p>
    <w:p w:rsidR="00000000" w:rsidDel="00000000" w:rsidP="00000000" w:rsidRDefault="00000000" w:rsidRPr="00000000" w14:paraId="000000A3">
      <w:pPr>
        <w:widowControl w:val="0"/>
        <w:numPr>
          <w:ilvl w:val="0"/>
          <w:numId w:val="55"/>
        </w:numPr>
        <w:spacing w:after="60"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żądania oświadczeń i dokumentów w zakresie potwierdzenia spełniania ww. wymogów i dokonywania ich oceny;</w:t>
      </w:r>
    </w:p>
    <w:p w:rsidR="00000000" w:rsidDel="00000000" w:rsidP="00000000" w:rsidRDefault="00000000" w:rsidRPr="00000000" w14:paraId="000000A4">
      <w:pPr>
        <w:widowControl w:val="0"/>
        <w:numPr>
          <w:ilvl w:val="0"/>
          <w:numId w:val="55"/>
        </w:numPr>
        <w:spacing w:after="60"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 żądania wyjaśnień w przypadku wątpliwości w zakresie potwierdzenia spełniania ww. wymogów;</w:t>
      </w:r>
    </w:p>
    <w:p w:rsidR="00000000" w:rsidDel="00000000" w:rsidP="00000000" w:rsidRDefault="00000000" w:rsidRPr="00000000" w14:paraId="000000A5">
      <w:pPr>
        <w:widowControl w:val="0"/>
        <w:numPr>
          <w:ilvl w:val="0"/>
          <w:numId w:val="55"/>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przeprowadzania kontroli na miejscu wykonywania świadczenia.</w:t>
      </w:r>
    </w:p>
    <w:p w:rsidR="00000000" w:rsidDel="00000000" w:rsidP="00000000" w:rsidRDefault="00000000" w:rsidRPr="00000000" w14:paraId="000000A6">
      <w:pPr>
        <w:widowControl w:val="0"/>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15. Wykonawca jest zobowiązany prowadzić ewidencję osób, dokumentującą zatrudnienie przy realizacji zamówienia, w tym dokumentującą zatrudnienie na podstawie umowy o pracę osób wskazanych w ust. 12 lit. a, dostępną Zamawiającemu na każde żądanie. W celu kontroli spełnienia przez Wykonawcę lub Podwykonawcę wymogów określonych w ust. 12 Zamawiający może nadto żądać w trakcie realizacji zamówienia przedłożenia do wglądu, w wyznaczonym przez Zamawiającego terminie, nie krótszym niż 7 dni, niżej wymienionych dowodów:</w:t>
      </w:r>
    </w:p>
    <w:p w:rsidR="00000000" w:rsidDel="00000000" w:rsidP="00000000" w:rsidRDefault="00000000" w:rsidRPr="00000000" w14:paraId="000000A7">
      <w:pPr>
        <w:widowControl w:val="0"/>
        <w:numPr>
          <w:ilvl w:val="0"/>
          <w:numId w:val="24"/>
        </w:numPr>
        <w:spacing w:after="60" w:line="276" w:lineRule="auto"/>
        <w:ind w:left="1215" w:hanging="360"/>
        <w:jc w:val="both"/>
        <w:rPr>
          <w:rFonts w:ascii="Calibri" w:cs="Calibri" w:eastAsia="Calibri" w:hAnsi="Calibri"/>
        </w:rPr>
      </w:pPr>
      <w:r w:rsidDel="00000000" w:rsidR="00000000" w:rsidRPr="00000000">
        <w:rPr>
          <w:rFonts w:ascii="Calibri" w:cs="Calibri" w:eastAsia="Calibri" w:hAnsi="Calibri"/>
          <w:rtl w:val="0"/>
        </w:rPr>
        <w:t xml:space="preserve">oświadczenia Wykonawcy lub Podwykonawcy o:</w:t>
      </w:r>
    </w:p>
    <w:p w:rsidR="00000000" w:rsidDel="00000000" w:rsidP="00000000" w:rsidRDefault="00000000" w:rsidRPr="00000000" w14:paraId="000000A8">
      <w:pPr>
        <w:widowControl w:val="0"/>
        <w:numPr>
          <w:ilvl w:val="1"/>
          <w:numId w:val="24"/>
        </w:numPr>
        <w:spacing w:after="60" w:line="276" w:lineRule="auto"/>
        <w:ind w:left="1935" w:hanging="360"/>
        <w:jc w:val="both"/>
        <w:rPr>
          <w:rFonts w:ascii="Calibri" w:cs="Calibri" w:eastAsia="Calibri" w:hAnsi="Calibri"/>
        </w:rPr>
      </w:pPr>
      <w:r w:rsidDel="00000000" w:rsidR="00000000" w:rsidRPr="00000000">
        <w:rPr>
          <w:rFonts w:ascii="Calibri" w:cs="Calibri" w:eastAsia="Calibri" w:hAnsi="Calibri"/>
          <w:rtl w:val="0"/>
        </w:rPr>
        <w:t xml:space="preserve">zatrudnieniu na podstawie umowy o pracę osób wykonujących czynności, o których mowa w ust. 12 lit. a) </w:t>
      </w:r>
    </w:p>
    <w:p w:rsidR="00000000" w:rsidDel="00000000" w:rsidP="00000000" w:rsidRDefault="00000000" w:rsidRPr="00000000" w14:paraId="000000A9">
      <w:pPr>
        <w:widowControl w:val="0"/>
        <w:numPr>
          <w:ilvl w:val="1"/>
          <w:numId w:val="24"/>
        </w:numPr>
        <w:spacing w:after="60" w:line="276" w:lineRule="auto"/>
        <w:ind w:left="1935" w:hanging="360"/>
        <w:jc w:val="both"/>
        <w:rPr>
          <w:rFonts w:ascii="Calibri" w:cs="Calibri" w:eastAsia="Calibri" w:hAnsi="Calibri"/>
        </w:rPr>
      </w:pPr>
      <w:r w:rsidDel="00000000" w:rsidR="00000000" w:rsidRPr="00000000">
        <w:rPr>
          <w:rFonts w:ascii="Calibri" w:cs="Calibri" w:eastAsia="Calibri" w:hAnsi="Calibri"/>
          <w:rtl w:val="0"/>
        </w:rPr>
        <w:t xml:space="preserve">zatrudnieniu przy realizacji zamówienia wymaganej liczby osób, o których mowa w ust. 12 lit. b). </w:t>
      </w:r>
    </w:p>
    <w:p w:rsidR="00000000" w:rsidDel="00000000" w:rsidP="00000000" w:rsidRDefault="00000000" w:rsidRPr="00000000" w14:paraId="000000AA">
      <w:pPr>
        <w:widowControl w:val="0"/>
        <w:spacing w:after="60" w:line="276" w:lineRule="auto"/>
        <w:ind w:left="1276" w:firstLine="0"/>
        <w:jc w:val="both"/>
        <w:rPr>
          <w:rFonts w:ascii="Calibri" w:cs="Calibri" w:eastAsia="Calibri" w:hAnsi="Calibri"/>
        </w:rPr>
      </w:pPr>
      <w:r w:rsidDel="00000000" w:rsidR="00000000" w:rsidRPr="00000000">
        <w:rPr>
          <w:rFonts w:ascii="Calibri" w:cs="Calibri" w:eastAsia="Calibri" w:hAnsi="Calibri"/>
          <w:rtl w:val="0"/>
        </w:rPr>
        <w:t xml:space="preserve">Oświadczenie to powinno zawierać w szczególności: dokładne określenie podmiotu składającego oświadczenie; datę złożenia oświadczenia; wskazanie, że czynności, o których mowa w ust. 12 lit. a) wykonują osoby zatrudnione na podstawie umowy o pracę wraz ze wskazaniem liczby tych osób, rodzaju umowy o pracę, stosunku zatrudnienia i wymiaru etatu; informację o zatrudnieniu przy realizacji zamówienia określonej w ust. 12 lit. b)  1) grupy osób (zgodnie z wymaganiami Zamawiającego) w liczbie wymaganej przez Zamawiającego wraz ze wskazaniem łącznej liczby osób zatrudnionych przy realizacji zamówienia (w tym w przeliczeniu na pełne etaty); podpis osoby uprawnionej do złożenia oświadczenia w imieniu składającego je podmiotu;</w:t>
      </w:r>
    </w:p>
    <w:p w:rsidR="00000000" w:rsidDel="00000000" w:rsidP="00000000" w:rsidRDefault="00000000" w:rsidRPr="00000000" w14:paraId="000000AB">
      <w:pPr>
        <w:widowControl w:val="0"/>
        <w:numPr>
          <w:ilvl w:val="0"/>
          <w:numId w:val="24"/>
        </w:numPr>
        <w:spacing w:after="60" w:line="276" w:lineRule="auto"/>
        <w:ind w:left="1215" w:hanging="360"/>
        <w:jc w:val="both"/>
        <w:rPr>
          <w:rFonts w:ascii="Calibri" w:cs="Calibri" w:eastAsia="Calibri" w:hAnsi="Calibri"/>
        </w:rPr>
      </w:pPr>
      <w:r w:rsidDel="00000000" w:rsidR="00000000" w:rsidRPr="00000000">
        <w:rPr>
          <w:rFonts w:ascii="Calibri" w:cs="Calibri" w:eastAsia="Calibri" w:hAnsi="Calibri"/>
          <w:rtl w:val="0"/>
        </w:rPr>
        <w:t xml:space="preserve">w odniesieniu do osób realizujących czynności wskazane w ust. 12 lit. a) Umowy: </w:t>
      </w:r>
    </w:p>
    <w:p w:rsidR="00000000" w:rsidDel="00000000" w:rsidP="00000000" w:rsidRDefault="00000000" w:rsidRPr="00000000" w14:paraId="000000AC">
      <w:pPr>
        <w:widowControl w:val="0"/>
        <w:numPr>
          <w:ilvl w:val="1"/>
          <w:numId w:val="24"/>
        </w:numPr>
        <w:spacing w:after="60" w:line="276" w:lineRule="auto"/>
        <w:ind w:left="1935" w:hanging="360"/>
        <w:jc w:val="both"/>
        <w:rPr>
          <w:rFonts w:ascii="Calibri" w:cs="Calibri" w:eastAsia="Calibri" w:hAnsi="Calibri"/>
        </w:rPr>
      </w:pPr>
      <w:r w:rsidDel="00000000" w:rsidR="00000000" w:rsidRPr="00000000">
        <w:rPr>
          <w:rFonts w:ascii="Calibri" w:cs="Calibri" w:eastAsia="Calibri" w:hAnsi="Calibri"/>
          <w:rtl w:val="0"/>
        </w:rPr>
        <w:t xml:space="preserve">poświadczoną za zgodność z oryginałem odpowiednio przez Wykonawcę lub Podwykonawcę kopię umowy/umów o pracę, o której mowa w przepisie art. 29 ust. 3a uPzp, tych osób, których dotyczy  oświadczenie (wraz z dokumentem regulującym zakres obowiązków, jeżeli został sporządzony). Kopia umowy/umów powinna zostać zanonimizowana w sposób zapewniający ochronę danych osobowych pracowników, zgodnie z obowiązującymi przepisami w zakresie ochrony danych osobowych. Imię i nazwisko pracownika nie podlega anonimizacji. Informacje takie jak: data zawarcia umowy, rodzaj umowy o pracę i wymiar etatu powinny być możliwe do zidentyfikowania.</w:t>
      </w:r>
    </w:p>
    <w:p w:rsidR="00000000" w:rsidDel="00000000" w:rsidP="00000000" w:rsidRDefault="00000000" w:rsidRPr="00000000" w14:paraId="000000AD">
      <w:pPr>
        <w:widowControl w:val="0"/>
        <w:numPr>
          <w:ilvl w:val="1"/>
          <w:numId w:val="24"/>
        </w:numPr>
        <w:spacing w:after="60" w:line="276" w:lineRule="auto"/>
        <w:ind w:left="1935" w:hanging="360"/>
        <w:jc w:val="both"/>
        <w:rPr>
          <w:rFonts w:ascii="Calibri" w:cs="Calibri" w:eastAsia="Calibri" w:hAnsi="Calibri"/>
        </w:rPr>
      </w:pPr>
      <w:r w:rsidDel="00000000" w:rsidR="00000000" w:rsidRPr="00000000">
        <w:rPr>
          <w:rFonts w:ascii="Calibri" w:cs="Calibri" w:eastAsia="Calibri" w:hAnsi="Calibri"/>
          <w:rtl w:val="0"/>
        </w:rPr>
        <w:t xml:space="preserve">zaświadczenie właściwego oddziału ZUS, potwierdzające opłacanie przez Wykonawcę lub Podwykonawcę składek na ubezpieczenia społeczne i zdrowotne z tytułu zatrudnienia na podstawie umów o pracę za ostatni okres rozliczeniowy;</w:t>
      </w:r>
    </w:p>
    <w:p w:rsidR="00000000" w:rsidDel="00000000" w:rsidP="00000000" w:rsidRDefault="00000000" w:rsidRPr="00000000" w14:paraId="000000AE">
      <w:pPr>
        <w:widowControl w:val="0"/>
        <w:numPr>
          <w:ilvl w:val="1"/>
          <w:numId w:val="24"/>
        </w:numPr>
        <w:spacing w:after="60" w:line="276" w:lineRule="auto"/>
        <w:ind w:left="1935" w:hanging="360"/>
        <w:jc w:val="both"/>
        <w:rPr>
          <w:rFonts w:ascii="Calibri" w:cs="Calibri" w:eastAsia="Calibri" w:hAnsi="Calibri"/>
        </w:rPr>
      </w:pPr>
      <w:r w:rsidDel="00000000" w:rsidR="00000000" w:rsidRPr="00000000">
        <w:rPr>
          <w:rFonts w:ascii="Calibri" w:cs="Calibri" w:eastAsia="Calibri" w:hAnsi="Calibri"/>
          <w:rtl w:val="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 zakresie ochrony danych osobowych.</w:t>
      </w:r>
    </w:p>
    <w:p w:rsidR="00000000" w:rsidDel="00000000" w:rsidP="00000000" w:rsidRDefault="00000000" w:rsidRPr="00000000" w14:paraId="000000AF">
      <w:pPr>
        <w:widowControl w:val="0"/>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16. Z tytułu niespełnienia przez Wykonawcę wymogów dot. zatrudnienia, o których mowa w ust. 12, Zamawiający przewiduje sankcję w postaci obowiązku zapłaty przez Wykonawcę kar umownych w wysokościach określonych w § 18 umowy. Niezłożenie przez Wykonawcę w wyznaczonym przez Zamawiającego terminie żądanych przez Zamawiającego dowodów w celu potwierdzenia spełnienia przez Wykonawcę wymogu zatrudnienia traktowane będzie jako niespełnienie wymogu, o którym mowa w ust. 12 Umowy.</w:t>
      </w:r>
    </w:p>
    <w:p w:rsidR="00000000" w:rsidDel="00000000" w:rsidP="00000000" w:rsidRDefault="00000000" w:rsidRPr="00000000" w14:paraId="000000B0">
      <w:pPr>
        <w:widowControl w:val="0"/>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17. W przypadku uzasadnionych wątpliwości co do przestrzegania prawa pracy przez Wykonawcę, Podwykonawcę lub dalszego Podwykonawcę Zamawiający może zwrócić się o przeprowadzenie kontroli przez Państwową Inspekcję Pracy.</w:t>
      </w:r>
    </w:p>
    <w:p w:rsidR="00000000" w:rsidDel="00000000" w:rsidP="00000000" w:rsidRDefault="00000000" w:rsidRPr="00000000" w14:paraId="000000B1">
      <w:pPr>
        <w:widowControl w:val="0"/>
        <w:tabs>
          <w:tab w:val="left" w:pos="220"/>
          <w:tab w:val="left" w:pos="720"/>
        </w:tabs>
        <w:spacing w:after="6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keepNext w:val="1"/>
        <w:numPr>
          <w:ilvl w:val="0"/>
          <w:numId w:val="26"/>
        </w:numPr>
        <w:spacing w:after="60" w:line="276" w:lineRule="auto"/>
        <w:ind w:left="432" w:hanging="432"/>
        <w:jc w:val="center"/>
        <w:rPr>
          <w:rFonts w:ascii="Calibri" w:cs="Calibri" w:eastAsia="Calibri" w:hAnsi="Calibri"/>
        </w:rPr>
      </w:pPr>
      <w:r w:rsidDel="00000000" w:rsidR="00000000" w:rsidRPr="00000000">
        <w:rPr>
          <w:rFonts w:ascii="Calibri" w:cs="Calibri" w:eastAsia="Calibri" w:hAnsi="Calibri"/>
          <w:b w:val="1"/>
          <w:rtl w:val="0"/>
        </w:rPr>
        <w:t xml:space="preserve">§ 4 – Harmonogram</w:t>
      </w:r>
      <w:r w:rsidDel="00000000" w:rsidR="00000000" w:rsidRPr="00000000">
        <w:rPr>
          <w:rtl w:val="0"/>
        </w:rPr>
      </w:r>
    </w:p>
    <w:p w:rsidR="00000000" w:rsidDel="00000000" w:rsidP="00000000" w:rsidRDefault="00000000" w:rsidRPr="00000000" w14:paraId="000000B3">
      <w:pPr>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wykona Przedmiot Umowy zgodnie z poniższym harmonogramem.</w:t>
      </w:r>
    </w:p>
    <w:p w:rsidR="00000000" w:rsidDel="00000000" w:rsidP="00000000" w:rsidRDefault="00000000" w:rsidRPr="00000000" w14:paraId="000000B4">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dostarczy Zamawiającemu w formie papierowej i elektronicznej w formacie pdf projekty wizualne rowerów, Stacji Postoju i Totemów Informacyjnych, Serwisu Internetowego, Aplikacji w terminie do 45 dni od daty zawarcia Umowy.</w:t>
      </w:r>
    </w:p>
    <w:p w:rsidR="00000000" w:rsidDel="00000000" w:rsidP="00000000" w:rsidRDefault="00000000" w:rsidRPr="00000000" w14:paraId="000000B5">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Projekty wskazane w pkt 1 będą zawierały szczegółowy opis działania każdej funkcji Aplikacji oraz Serwisu Internetowego ze szczególnym uwzględnieniem sposobu rejestracji i weryfikacji Klientów, sposobu powiązania konta użytkownika z kartą płatniczą.</w:t>
      </w:r>
    </w:p>
    <w:p w:rsidR="00000000" w:rsidDel="00000000" w:rsidP="00000000" w:rsidRDefault="00000000" w:rsidRPr="00000000" w14:paraId="000000B6">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dostarczy Zamawiającemu projekty dokumentów określających prawa i obowiązki Klientów, Zamawiającego oraz Wykonawcy, w szczególności regulamin korzystania z SRM MEVO, regulamin obsługi płatności i rozliczeń z Klientami  w terminie do 45 dni od daty zawarcia Umowy.</w:t>
      </w:r>
    </w:p>
    <w:p w:rsidR="00000000" w:rsidDel="00000000" w:rsidP="00000000" w:rsidRDefault="00000000" w:rsidRPr="00000000" w14:paraId="000000B7">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czasie nie dłuższym niż 15 dni od daty przekazania przez Wykonawcę projektów o których mowa w pkt 1 i 3 Zamawiający ma prawo wnieść uwagi do tych projektów.</w:t>
      </w:r>
    </w:p>
    <w:p w:rsidR="00000000" w:rsidDel="00000000" w:rsidP="00000000" w:rsidRDefault="00000000" w:rsidRPr="00000000" w14:paraId="000000B8">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będzie uprawniony do wniesienia nie tylko uwag w zakresie wad dokumentacji, w szczególności niezgodności z wymogami wynikającymi z OPZ, ale także wszelkich wiążących dla Wykonawcy zastrzeżeń i sugestii dotyczących dokumentacji określającej funkcjonowanie systemu, jego elementów, praw i obowiązków Klientów i innych uwag, które Zamawiający uzna za zasadne. W celu uniknięcia wątpliwości Strony potwierdzają, że ostateczny kształt SRM MEVO należy do decyzji Zamawiającego.</w:t>
      </w:r>
    </w:p>
    <w:p w:rsidR="00000000" w:rsidDel="00000000" w:rsidP="00000000" w:rsidRDefault="00000000" w:rsidRPr="00000000" w14:paraId="000000B9">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jest zobowiązany do usunięcia wad oraz uwzględnienia wszelkich uwag Zamawiającego, o których mowa jest w pkt 4 i 5 w terminie 15 dni od przekazania przez Zamawiającego uwag. Wykonawca może zawnioskować o wydłużenie terminu, w przypadku, gdy termin o którym mowa w zdaniu pierwszym jest obiektywnie niemożliwy do dochowania.</w:t>
      </w:r>
    </w:p>
    <w:p w:rsidR="00000000" w:rsidDel="00000000" w:rsidP="00000000" w:rsidRDefault="00000000" w:rsidRPr="00000000" w14:paraId="000000BA">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Procedura, o której mowa w pkt. 4-6 znajduje odpowiednie zastosowanie do wniesienia i weryfikacji projektów uwzględniających uwagi Zamawiającego. </w:t>
      </w:r>
    </w:p>
    <w:p w:rsidR="00000000" w:rsidDel="00000000" w:rsidP="00000000" w:rsidRDefault="00000000" w:rsidRPr="00000000" w14:paraId="000000BB">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 zaakceptowaniu przez Zamawiającego projektów, o których mowa w ust. 1-3. zostanie spisany protokół zdawczo-odbiorczy. Wykonawca przekaże Zamawiającemu oryginały projektów na nośniku elektronicznym w formacie pdf oraz w wersji papierowej (2 egzemplarze w wersji papierowej, 1 egzemplarz w wersji elektronicznej).</w:t>
      </w:r>
    </w:p>
    <w:p w:rsidR="00000000" w:rsidDel="00000000" w:rsidP="00000000" w:rsidRDefault="00000000" w:rsidRPr="00000000" w14:paraId="000000BC">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Procedura odbioru projektów nie powoduje zmiany ustalonych terminów uruchomienia Etapów SRM MEVO.</w:t>
      </w:r>
    </w:p>
    <w:p w:rsidR="00000000" w:rsidDel="00000000" w:rsidP="00000000" w:rsidRDefault="00000000" w:rsidRPr="00000000" w14:paraId="000000BD">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do 90 dni po zawarciu Umowy, przekaże Wykonawcy ostateczny wykaz lokalizacji Stacji Postoju, wraz z rysunkami lub mapami (na nośniku elektronicznym), z zaznaczonymi szczegółowymi lokalizacjami. Wykaz będzie zawierał informacje o:</w:t>
      </w:r>
    </w:p>
    <w:p w:rsidR="00000000" w:rsidDel="00000000" w:rsidP="00000000" w:rsidRDefault="00000000" w:rsidRPr="00000000" w14:paraId="000000BE">
      <w:pPr>
        <w:numPr>
          <w:ilvl w:val="0"/>
          <w:numId w:val="43"/>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Stacjach Postoju należących do Zamawiającego: lokalizacjach, liczbie stojaków rowerowych, rodzaju Totemu Informacyjnego, przypisanej bazowej liczbie rowerów;</w:t>
      </w:r>
    </w:p>
    <w:p w:rsidR="00000000" w:rsidDel="00000000" w:rsidP="00000000" w:rsidRDefault="00000000" w:rsidRPr="00000000" w14:paraId="000000BF">
      <w:pPr>
        <w:numPr>
          <w:ilvl w:val="0"/>
          <w:numId w:val="43"/>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nowych Stacjach Postoju: planowanych lokalizacjach, liczbie stojaków rowerowych oraz rodzaju Totemu Informacyjnego, przypisanej bazowej liczbie rowerów.</w:t>
      </w:r>
    </w:p>
    <w:p w:rsidR="00000000" w:rsidDel="00000000" w:rsidP="00000000" w:rsidRDefault="00000000" w:rsidRPr="00000000" w14:paraId="000000C0">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do 120 dni po zawarciu Umowy, udostępni Wykonawcy wydzielone tereny pod lokalizację nowych Stacji Postoju oraz Stacje Postoju będące własnością Zamawiającego. Z przekazania zostanie spisany protokół zdawczo-odbiorczy, obustronnie podpisany przez Strony Umowy. Od dnia przekazania wszystkie koszty związane z ich utrzymaniem są po stronie Wykonawcy. </w:t>
      </w:r>
    </w:p>
    <w:p w:rsidR="00000000" w:rsidDel="00000000" w:rsidP="00000000" w:rsidRDefault="00000000" w:rsidRPr="00000000" w14:paraId="000000C1">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dokona wszelkich stosownych uzgodnień i uzyska niezbędne pozwolenia związane z wyglądem i lokalizacją elementów SRM MEVO opisanych w ust. 1, w tym w zakresie projektów rowerów, stojaków rowerowych i Stacji Postoju.</w:t>
      </w:r>
    </w:p>
    <w:p w:rsidR="00000000" w:rsidDel="00000000" w:rsidP="00000000" w:rsidRDefault="00000000" w:rsidRPr="00000000" w14:paraId="000000C2">
      <w:pPr>
        <w:numPr>
          <w:ilvl w:val="0"/>
          <w:numId w:val="15"/>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przekaże Wykonawcy 1194 szt. rowerów będących własnością Zamawiającego. </w:t>
      </w:r>
      <w:r w:rsidDel="00000000" w:rsidR="00000000" w:rsidRPr="00000000">
        <w:rPr>
          <w:rFonts w:ascii="Calibri" w:cs="Calibri" w:eastAsia="Calibri" w:hAnsi="Calibri"/>
          <w:color w:val="222222"/>
          <w:highlight w:val="white"/>
          <w:rtl w:val="0"/>
        </w:rPr>
        <w:t xml:space="preserve">Rowery te przechodzą pod zarząd Wykonawcy w ciągu 7 dni od dnia podpisania umowy i od tego czasu Wykonawca ma obowiązek ich utrzymania, serwisowania i ładowania baterii. Będą one dostępne </w:t>
      </w:r>
      <w:r w:rsidDel="00000000" w:rsidR="00000000" w:rsidRPr="00000000">
        <w:rPr>
          <w:rFonts w:ascii="Calibri" w:cs="Calibri" w:eastAsia="Calibri" w:hAnsi="Calibri"/>
          <w:rtl w:val="0"/>
        </w:rPr>
        <w:t xml:space="preserve">do odbioru przez Wykonawcę w ciągu 3 dni od daty podpisania Umowy i winny zostać odebrane przez Wykonawcę nie później niż w terminie 2 miesięcy od daty podpisania Umowy. Przekazanie nastąpi w miejscu magazynowania rowerów przez Zamawiającego. Od dnia przekazania, wszystkie koszty związane z magazynowaniem, transportem, utrzymaniem itp. są po stronie Wykonawcy. Wykonawca ubezpieczy w/w rowery od kradzieży i zniszczenia na kwotę nie niższą niż 3000 zł za jeden rower.  </w:t>
      </w:r>
    </w:p>
    <w:p w:rsidR="00000000" w:rsidDel="00000000" w:rsidP="00000000" w:rsidRDefault="00000000" w:rsidRPr="00000000" w14:paraId="000000C3">
      <w:pPr>
        <w:numPr>
          <w:ilvl w:val="0"/>
          <w:numId w:val="15"/>
        </w:numPr>
        <w:spacing w:after="60" w:line="276" w:lineRule="auto"/>
        <w:ind w:left="360" w:hanging="360"/>
        <w:jc w:val="both"/>
        <w:rPr>
          <w:rFonts w:ascii="Calibri" w:cs="Calibri" w:eastAsia="Calibri" w:hAnsi="Calibri"/>
        </w:rPr>
      </w:pPr>
      <w:bookmarkStart w:colFirst="0" w:colLast="0" w:name="_heading=h.2s8eyo1" w:id="28"/>
      <w:bookmarkEnd w:id="28"/>
      <w:r w:rsidDel="00000000" w:rsidR="00000000" w:rsidRPr="00000000">
        <w:rPr>
          <w:rFonts w:ascii="Calibri" w:cs="Calibri" w:eastAsia="Calibri" w:hAnsi="Calibri"/>
          <w:rtl w:val="0"/>
        </w:rPr>
        <w:t xml:space="preserve">Wykonawca, najpóźniej na 40 dni przed terminem rozpoczęcia wewnętrznego rozruchu testowego systemu w ramach Etapu I, uzyska wszelkie potrzebne uzgodnienia i pozwolenia związane z uruchomieniem SRM MEVO oraz uzyska zatwierdzenie przez Zamawiającego dokumentacji określonej w pkt. 1, 2 , 3.</w:t>
      </w:r>
    </w:p>
    <w:p w:rsidR="00000000" w:rsidDel="00000000" w:rsidP="00000000" w:rsidRDefault="00000000" w:rsidRPr="00000000" w14:paraId="000000C4">
      <w:pPr>
        <w:numPr>
          <w:ilvl w:val="0"/>
          <w:numId w:val="15"/>
        </w:numPr>
        <w:spacing w:after="60" w:line="276" w:lineRule="auto"/>
        <w:ind w:left="142" w:hanging="360"/>
        <w:jc w:val="both"/>
        <w:rPr>
          <w:rFonts w:ascii="Calibri" w:cs="Calibri" w:eastAsia="Calibri" w:hAnsi="Calibri"/>
        </w:rPr>
      </w:pPr>
      <w:r w:rsidDel="00000000" w:rsidR="00000000" w:rsidRPr="00000000">
        <w:rPr>
          <w:rFonts w:ascii="Calibri" w:cs="Calibri" w:eastAsia="Calibri" w:hAnsi="Calibri"/>
          <w:rtl w:val="0"/>
        </w:rPr>
        <w:t xml:space="preserve">Wykonawca, co najmniej 30 dni przed terminem rozpoczęcia wewnętrznego rozruchu testowego systemu w ramach Etapu I, przekaże:</w:t>
      </w:r>
    </w:p>
    <w:p w:rsidR="00000000" w:rsidDel="00000000" w:rsidP="00000000" w:rsidRDefault="00000000" w:rsidRPr="00000000" w14:paraId="000000C5">
      <w:pPr>
        <w:numPr>
          <w:ilvl w:val="0"/>
          <w:numId w:val="31"/>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wykaz Podwykonawców z dokładnym zakresem wykonywanych czynności, wraz z kopiami zawartych umów;</w:t>
      </w:r>
    </w:p>
    <w:p w:rsidR="00000000" w:rsidDel="00000000" w:rsidP="00000000" w:rsidRDefault="00000000" w:rsidRPr="00000000" w14:paraId="000000C6">
      <w:pPr>
        <w:numPr>
          <w:ilvl w:val="0"/>
          <w:numId w:val="31"/>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wykaz punktów ładowania baterii, z podaniem liczby stanowisk ładowania baterii Rowerów ze wspomaganiem elektrycznym oraz kopie umów zawartych z właścicielami nieruchomości, na których zlokalizowane są te punkty, uprawniające Wykonawcę do korzystania z tych nieruchomości dla celów urządzenia punktów ładowania baterii;</w:t>
      </w:r>
    </w:p>
    <w:p w:rsidR="00000000" w:rsidDel="00000000" w:rsidP="00000000" w:rsidRDefault="00000000" w:rsidRPr="00000000" w14:paraId="000000C7">
      <w:pPr>
        <w:numPr>
          <w:ilvl w:val="0"/>
          <w:numId w:val="31"/>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wykaz wszystkich pojazdów wykorzystywanych do obsługi SRM MEVO, wraz z zaznaczeniem pojazdów spełniających wymagania normy emisji Euro 6 oraz zeroemisyjnych, wraz z kopiami dowodów rejestracyjnych.</w:t>
      </w:r>
    </w:p>
    <w:p w:rsidR="00000000" w:rsidDel="00000000" w:rsidP="00000000" w:rsidRDefault="00000000" w:rsidRPr="00000000" w14:paraId="000000C8">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 zakończeniu dostaw i czynności montażu, przekazaniu dokumentacji wymienionej w pkt. 15 i uzgodnieniu Stref Relokacji i Stacji Postoju obsługiwanych wyłącznie przez Rowery cargo (zgodnie ze złożoną ofertą),  na co najmniej 1 miesiąc przed terminem rozpoczęcia wewnętrznego rozruchu testowego systemu w ramach Etapu I, Wykonawca pisemnie zgłosi Zamawiającemu gotowość do uruchomienia Etapu I oraz przeprowadzenia testów sprawdzających zgodność Przedmiotu Umowy z wymogami określonymi w Umowie, OPZ i Koncepcji funkcjonowania. W tym celu Wykonawca wskaże i potwierdzi:</w:t>
      </w:r>
    </w:p>
    <w:p w:rsidR="00000000" w:rsidDel="00000000" w:rsidP="00000000" w:rsidRDefault="00000000" w:rsidRPr="00000000" w14:paraId="000000C9">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dostawę rowerów z Etapu I i Etapu II;</w:t>
      </w:r>
    </w:p>
    <w:p w:rsidR="00000000" w:rsidDel="00000000" w:rsidP="00000000" w:rsidRDefault="00000000" w:rsidRPr="00000000" w14:paraId="000000CA">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dostosowanie rowerów przekazanych przez Zamawiającego do funkcjonowania w SRM MEVO;</w:t>
      </w:r>
    </w:p>
    <w:p w:rsidR="00000000" w:rsidDel="00000000" w:rsidP="00000000" w:rsidRDefault="00000000" w:rsidRPr="00000000" w14:paraId="000000CB">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zakończenie dostosowania i montażu Stacji Postoju w lokalizacjach, o których mowa w pkt. 11, zgodnie z projektem, o którym mowa w pkt. 1;</w:t>
      </w:r>
    </w:p>
    <w:p w:rsidR="00000000" w:rsidDel="00000000" w:rsidP="00000000" w:rsidRDefault="00000000" w:rsidRPr="00000000" w14:paraId="000000CC">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uruchomienie punktów ładowania baterii;</w:t>
      </w:r>
    </w:p>
    <w:p w:rsidR="00000000" w:rsidDel="00000000" w:rsidP="00000000" w:rsidRDefault="00000000" w:rsidRPr="00000000" w14:paraId="000000CD">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uruchomienie Centrum Kontaktu;</w:t>
      </w:r>
    </w:p>
    <w:p w:rsidR="00000000" w:rsidDel="00000000" w:rsidP="00000000" w:rsidRDefault="00000000" w:rsidRPr="00000000" w14:paraId="000000CE">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uruchomienie Systemu Informatycznego do obsługi wypożyczeń oraz Systemu Informatycznego do nadzoru i raportowania;;</w:t>
      </w:r>
    </w:p>
    <w:p w:rsidR="00000000" w:rsidDel="00000000" w:rsidP="00000000" w:rsidRDefault="00000000" w:rsidRPr="00000000" w14:paraId="000000CF">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uruchomienie Aplikacji;</w:t>
      </w:r>
    </w:p>
    <w:p w:rsidR="00000000" w:rsidDel="00000000" w:rsidP="00000000" w:rsidRDefault="00000000" w:rsidRPr="00000000" w14:paraId="000000D0">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umożliwienie rejestracji Klientów w SRM MEVO poprzez Aplikację i Serwis Internetowy;</w:t>
      </w:r>
    </w:p>
    <w:p w:rsidR="00000000" w:rsidDel="00000000" w:rsidP="00000000" w:rsidRDefault="00000000" w:rsidRPr="00000000" w14:paraId="000000D1">
      <w:pPr>
        <w:numPr>
          <w:ilvl w:val="0"/>
          <w:numId w:val="53"/>
        </w:numPr>
        <w:spacing w:after="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proponowaną datę i miejsce rozpoczęcia wewnętrznego rozruchu testowego systemu w ramach Etapu I.</w:t>
      </w:r>
    </w:p>
    <w:p w:rsidR="00000000" w:rsidDel="00000000" w:rsidP="00000000" w:rsidRDefault="00000000" w:rsidRPr="00000000" w14:paraId="000000D2">
      <w:pPr>
        <w:numPr>
          <w:ilvl w:val="0"/>
          <w:numId w:val="15"/>
        </w:numPr>
        <w:spacing w:after="60" w:line="276"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Odbiory poszczególnych Etapów przeprowadzi komisja rozruchowa, powołana przez Zamawiającego, z udziałem przedstawicieli Wykonawcy oraz Zamawiającego. Zamawiający może powołać do komisji rzeczoznawców oraz specjalistów zewnętrznych. Wykonawca przekaże wszelkie niezbędne narzędzia potrzebne do przeprowadzenia odbiorów, m.in. takie jak kluczyki, baterie, ładowarki itp. </w:t>
      </w:r>
    </w:p>
    <w:p w:rsidR="00000000" w:rsidDel="00000000" w:rsidP="00000000" w:rsidRDefault="00000000" w:rsidRPr="00000000" w14:paraId="000000D3">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Odbiory mają na celu sprawdzenie funkcjonowania SRM MEVO, jego kompletności oraz spełnienia parametrów i właściwości określonych w Umowie, OPZ oraz Koncepcji funkcjonowania.</w:t>
      </w:r>
    </w:p>
    <w:p w:rsidR="00000000" w:rsidDel="00000000" w:rsidP="00000000" w:rsidRDefault="00000000" w:rsidRPr="00000000" w14:paraId="000000D4">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 rozpoczęciem wewnętrznego rozruchu testowego systemu w ramach Etapu I Wykonawca przeszkoli do 40 wskazanych przedstawicieli Zamawiającego w zakresie użytkowania SRM MEVO oraz kontroli i pozyskiwania danych z Systemu Informatycznego. Szkolenie musi odbywać się w formie warsztatów z wykorzystaniem komputerów. Szkolenia odbywać się będą również na pisemną prośbę Zamawiającego, nie częściej niż raz w roku, w formie szkoleń uzupełniających. </w:t>
      </w:r>
    </w:p>
    <w:p w:rsidR="00000000" w:rsidDel="00000000" w:rsidP="00000000" w:rsidRDefault="00000000" w:rsidRPr="00000000" w14:paraId="000000D5">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przeszkolenia pracowników Zamawiającego zostanie spisany protokół, podpisany przez uczestników szkolenia.</w:t>
      </w:r>
    </w:p>
    <w:p w:rsidR="00000000" w:rsidDel="00000000" w:rsidP="00000000" w:rsidRDefault="00000000" w:rsidRPr="00000000" w14:paraId="000000D6">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trakcie Etapu I i Etapu II, Wykonawca, na wniosek Zamawiającego, przekaże wybrane przez Zamawiającego rowery w celu wykonania specjalistycznych testów, potwierdzających spełnienie warunków zapisanych w OPZ, Umowie i Koncepcji funkcjonowania. Rowery mogą być testowane przez dowolnych specjalistów wskazanych przez Zamawiającego, w tym biegłych rzeczoznawców. </w:t>
      </w:r>
    </w:p>
    <w:p w:rsidR="00000000" w:rsidDel="00000000" w:rsidP="00000000" w:rsidRDefault="00000000" w:rsidRPr="00000000" w14:paraId="000000D7">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trakcie realizacji Etapu I i Etapu II nie będą pobierane opłaty stanowiące przychód Zamawiającego wskazane w § 11 ust 1, ani naliczane kary wskazane w §18, za wyjątkiem kar wskazanych w § 18 ust. 1 pkt 10, 11, 12, 14-20, 22-24, 27, 29-31 Umowy oraz w § 18 ust. 2 Umowy;</w:t>
      </w:r>
    </w:p>
    <w:p w:rsidR="00000000" w:rsidDel="00000000" w:rsidP="00000000" w:rsidRDefault="00000000" w:rsidRPr="00000000" w14:paraId="000000D8">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Etap I i Etap II będzie prowadzony na obszarze wskazanym przez Zamawiającego.</w:t>
      </w:r>
    </w:p>
    <w:p w:rsidR="00000000" w:rsidDel="00000000" w:rsidP="00000000" w:rsidRDefault="00000000" w:rsidRPr="00000000" w14:paraId="000000D9">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Odbiór Etapu II następuje gdy SRM MEVO w określonym zakresie funkcjonuje w sposób należyty tj. przez okres co najmniej 24 dni w sposób zgodny z umową, w tym przez co najmniej 6 z ostatnich 7 dni rozruchu testowego.</w:t>
      </w:r>
    </w:p>
    <w:p w:rsidR="00000000" w:rsidDel="00000000" w:rsidP="00000000" w:rsidRDefault="00000000" w:rsidRPr="00000000" w14:paraId="000000DA">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po odbiorze Etapu II dokona potwierdzenia gotowości uruchomienia SRM MEVO.</w:t>
      </w:r>
    </w:p>
    <w:p w:rsidR="00000000" w:rsidDel="00000000" w:rsidP="00000000" w:rsidRDefault="00000000" w:rsidRPr="00000000" w14:paraId="000000DB">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Uruchomienie SRM MEVO może nastąpić wyłącznie po pisemnym potwierdzeniu przez Zamawiającego odbioru Etapu II.</w:t>
      </w:r>
    </w:p>
    <w:p w:rsidR="00000000" w:rsidDel="00000000" w:rsidP="00000000" w:rsidRDefault="00000000" w:rsidRPr="00000000" w14:paraId="000000DC">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razie braku odbioru któregokolwiek z Etapów, Wykonawca zobowiązany jest do niezwłocznego usunięcia nieprawidłowości i ponownego zgłoszenia gotowości do odbioru. Odbiory Etapu I, a następnie Etapu II będą trwały do momentu ich pozytywnego zakończenia.</w:t>
      </w:r>
    </w:p>
    <w:p w:rsidR="00000000" w:rsidDel="00000000" w:rsidP="00000000" w:rsidRDefault="00000000" w:rsidRPr="00000000" w14:paraId="000000DD">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terminie do 17 miesięcy od dnia zawarcia Umowy nastąpi wdrożenie Etapu III, podczas którego Wykonawca  uruchomi SRM MEVO. Wdrożenie Etapu III może nastąpić jedynie, gdy  bez zastrzeżeń odebrano Etap II.</w:t>
      </w:r>
    </w:p>
    <w:p w:rsidR="00000000" w:rsidDel="00000000" w:rsidP="00000000" w:rsidRDefault="00000000" w:rsidRPr="00000000" w14:paraId="000000DE">
      <w:pPr>
        <w:numPr>
          <w:ilvl w:val="0"/>
          <w:numId w:val="1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razie stwierdzenia nieprawidłowości w funkcjonowaniu Etapu III, Wykonawca zobowiązany jest do niezwłocznego usunięcia nieprawidłowości.</w:t>
      </w:r>
    </w:p>
    <w:p w:rsidR="00000000" w:rsidDel="00000000" w:rsidP="00000000" w:rsidRDefault="00000000" w:rsidRPr="00000000" w14:paraId="000000DF">
      <w:pPr>
        <w:spacing w:after="6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keepNext w:val="1"/>
        <w:numPr>
          <w:ilvl w:val="0"/>
          <w:numId w:val="26"/>
        </w:numPr>
        <w:spacing w:after="60" w:line="276" w:lineRule="auto"/>
        <w:ind w:left="432" w:hanging="432"/>
        <w:jc w:val="center"/>
        <w:rPr>
          <w:rFonts w:ascii="Calibri" w:cs="Calibri" w:eastAsia="Calibri" w:hAnsi="Calibri"/>
        </w:rPr>
      </w:pPr>
      <w:r w:rsidDel="00000000" w:rsidR="00000000" w:rsidRPr="00000000">
        <w:rPr>
          <w:rFonts w:ascii="Calibri" w:cs="Calibri" w:eastAsia="Calibri" w:hAnsi="Calibri"/>
          <w:b w:val="1"/>
          <w:rtl w:val="0"/>
        </w:rPr>
        <w:t xml:space="preserve">§ 5 - Eksploatacja</w:t>
      </w:r>
      <w:r w:rsidDel="00000000" w:rsidR="00000000" w:rsidRPr="00000000">
        <w:rPr>
          <w:rtl w:val="0"/>
        </w:rPr>
      </w:r>
    </w:p>
    <w:p w:rsidR="00000000" w:rsidDel="00000000" w:rsidP="00000000" w:rsidRDefault="00000000" w:rsidRPr="00000000" w14:paraId="000000E1">
      <w:pPr>
        <w:numPr>
          <w:ilvl w:val="0"/>
          <w:numId w:val="49"/>
        </w:numPr>
        <w:spacing w:after="60" w:line="276" w:lineRule="auto"/>
        <w:ind w:left="357" w:hanging="357"/>
        <w:jc w:val="both"/>
        <w:rPr>
          <w:rFonts w:ascii="Calibri" w:cs="Calibri" w:eastAsia="Calibri" w:hAnsi="Calibri"/>
        </w:rPr>
      </w:pPr>
      <w:bookmarkStart w:colFirst="0" w:colLast="0" w:name="_heading=h.41mghml" w:id="29"/>
      <w:bookmarkEnd w:id="29"/>
      <w:r w:rsidDel="00000000" w:rsidR="00000000" w:rsidRPr="00000000">
        <w:rPr>
          <w:rFonts w:ascii="Calibri" w:cs="Calibri" w:eastAsia="Calibri" w:hAnsi="Calibri"/>
          <w:rtl w:val="0"/>
        </w:rPr>
        <w:t xml:space="preserve">Czynności zarządzania i kompleksowej eksploatacji SRM MEVO, Wykonawca obowiązany jest realizować w okresie od daty sporządzenia protokołu wdrożenia Etapu III, do dnia wygaśnięcia Umowy, zgodnie z warunkami Umowy, SIWZ i Koncepcją funkcjonowania. </w:t>
      </w:r>
    </w:p>
    <w:p w:rsidR="00000000" w:rsidDel="00000000" w:rsidP="00000000" w:rsidRDefault="00000000" w:rsidRPr="00000000" w14:paraId="000000E2">
      <w:pPr>
        <w:numPr>
          <w:ilvl w:val="0"/>
          <w:numId w:val="49"/>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ramach zarządzania i kompleksowej eksploatacji SRM MEVO Wykonawca zapewni pełną obsługę SRM MEVO w zakresie jego prawidłowego funkcjonowania, obsługi Klientów i realizacji wszystkich obowiązków względem Zamawiającego.</w:t>
      </w:r>
    </w:p>
    <w:p w:rsidR="00000000" w:rsidDel="00000000" w:rsidP="00000000" w:rsidRDefault="00000000" w:rsidRPr="00000000" w14:paraId="000000E3">
      <w:pPr>
        <w:numPr>
          <w:ilvl w:val="0"/>
          <w:numId w:val="49"/>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zobowiązany jest zapewnić dostępność SRM MEVO dla Klientów przez cały rok, z zastrzeżeniem, iż: </w:t>
      </w:r>
    </w:p>
    <w:p w:rsidR="00000000" w:rsidDel="00000000" w:rsidP="00000000" w:rsidRDefault="00000000" w:rsidRPr="00000000" w14:paraId="000000E4">
      <w:pPr>
        <w:numPr>
          <w:ilvl w:val="0"/>
          <w:numId w:val="2"/>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okresie od 1 marca do końca 30 listopada każdego roku – dostępnych będzie 100% liczby rowerów w każdej gminie;</w:t>
      </w:r>
    </w:p>
    <w:p w:rsidR="00000000" w:rsidDel="00000000" w:rsidP="00000000" w:rsidRDefault="00000000" w:rsidRPr="00000000" w14:paraId="000000E5">
      <w:pPr>
        <w:numPr>
          <w:ilvl w:val="0"/>
          <w:numId w:val="2"/>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okresie od 1 grudnia do ostatniego dnia lutego każdego roku – dostępnych będzie minimum 50% liczby rowerów w każdej gminie.</w:t>
      </w:r>
    </w:p>
    <w:p w:rsidR="00000000" w:rsidDel="00000000" w:rsidP="00000000" w:rsidRDefault="00000000" w:rsidRPr="00000000" w14:paraId="000000E6">
      <w:pPr>
        <w:numPr>
          <w:ilvl w:val="0"/>
          <w:numId w:val="49"/>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zobowiązany jest w ramach Umowy do:</w:t>
      </w:r>
    </w:p>
    <w:p w:rsidR="00000000" w:rsidDel="00000000" w:rsidP="00000000" w:rsidRDefault="00000000" w:rsidRPr="00000000" w14:paraId="000000E7">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uzyskania na własny koszt i ryzyko wszelkich niezbędnych oświadczeń, opinii, zgód, pozwoleń, uzgodnień oraz wszelkich innych dokumentów niezbędnych dla wykonania Przedmiotu Umowy, z wyłączeniem zapewnianego przez Zamawiającego prawa do nieodpłatnego korzystania z terenów udostępnianych przez Zamawiającego pod lokalizacje Stacji Postoju;</w:t>
      </w:r>
    </w:p>
    <w:p w:rsidR="00000000" w:rsidDel="00000000" w:rsidP="00000000" w:rsidRDefault="00000000" w:rsidRPr="00000000" w14:paraId="000000E8">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zapewnienia wymaganej liczby rowerów w SRM MEVO, podczas obowiązywania Umowy (z zastrzeżeniem skorzystania przez Zamawiającego z prawa opcji). W przypadku Usterki Istotnej lub jego kradzieży, Wykonawca zobowiązany jest niezwłocznie zapewnić inny rower spełniający warunki Umowy, którego data produkcji jest nie wcześniejsza niż data produkcji rowerów dostarczonych w ramach Etapu I, tak aby w ramach SRM MEVO funkcjonowała wymagana liczba rowerów z podziałem na Rowery standardowe i Rowery ze wspomaganiem elektrycznym;</w:t>
      </w:r>
    </w:p>
    <w:p w:rsidR="00000000" w:rsidDel="00000000" w:rsidP="00000000" w:rsidRDefault="00000000" w:rsidRPr="00000000" w14:paraId="000000E9">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zapewnienia i utrzymywania na własny koszt systemów łączności i oprogramowania niezbędnych dla funkcjonowania, nadzoru i rozliczania SRM MEVO;</w:t>
      </w:r>
    </w:p>
    <w:p w:rsidR="00000000" w:rsidDel="00000000" w:rsidP="00000000" w:rsidRDefault="00000000" w:rsidRPr="00000000" w14:paraId="000000EA">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zapewnienia, we własnym zakresie i na swój koszt serwisu, naprawy lub odtworzenia wszystkich elementów wyposażenia SRM MEVO – w szczególności rowerów, Stacji Postoju, stojaków rowerowych, urządzeń i oprogramowania, elementów systemu łączności oraz systemu rozliczania i płatności, Serwisu Internetowego i Aplikacji;</w:t>
      </w:r>
    </w:p>
    <w:p w:rsidR="00000000" w:rsidDel="00000000" w:rsidP="00000000" w:rsidRDefault="00000000" w:rsidRPr="00000000" w14:paraId="000000EB">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utrzymania we własnym zakresie i na własny koszt rowerów i Stacji Postoju w należytym stanie estetycznym, poprzez systematyczne czyszczenie i wymianę zniszczonych elementów;</w:t>
      </w:r>
    </w:p>
    <w:p w:rsidR="00000000" w:rsidDel="00000000" w:rsidP="00000000" w:rsidRDefault="00000000" w:rsidRPr="00000000" w14:paraId="000000EC">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zapewnienia we własnym zakresie i na własny koszt funkcjonowania Centrum Kontaktu;</w:t>
      </w:r>
    </w:p>
    <w:p w:rsidR="00000000" w:rsidDel="00000000" w:rsidP="00000000" w:rsidRDefault="00000000" w:rsidRPr="00000000" w14:paraId="000000ED">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zapewnienia we własnym zakresie i na swój koszt magazynowania i konserwacji elementów SRM MEVO, wyłączonych z funkcjonowania w okresie sezonowych ograniczeń w eksploatacji SRM MEVO;</w:t>
      </w:r>
    </w:p>
    <w:p w:rsidR="00000000" w:rsidDel="00000000" w:rsidP="00000000" w:rsidRDefault="00000000" w:rsidRPr="00000000" w14:paraId="000000EE">
      <w:pPr>
        <w:numPr>
          <w:ilvl w:val="1"/>
          <w:numId w:val="49"/>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dokonywania wszelkich rozliczeń z Klientami, w tym również rozliczeń końcowych, przekazywania Zamawiającemu okresowych raportów z realizacji czynności stanowiących Przedmiot Umowy, zgodnie ze wzorami ustalonymi przez Strony, z zastrzeżeniem postanowień SIWZ.</w:t>
      </w:r>
    </w:p>
    <w:p w:rsidR="00000000" w:rsidDel="00000000" w:rsidP="00000000" w:rsidRDefault="00000000" w:rsidRPr="00000000" w14:paraId="000000EF">
      <w:pPr>
        <w:numPr>
          <w:ilvl w:val="0"/>
          <w:numId w:val="49"/>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 zakończeniu obowiązywania trójstronnej umowy pomiędzy użytkownikiem a Wykonawcą i Zamawiającym lub po upływie okresu obowiązywania Umowy lub jej rozwiązaniu, Wykonawca jest zobowiązany do dokonania ostatecznych rozliczeń z Klientami, w szczególności zwrotu niewykorzystanych Środków Klientów. W przypadku, gdy Wykonawca ma w posiadaniu nierozliczone Środki Klientów Wykonawca jest zobowiązany do przekazania ich na konto wskazane przez Zamawiającego.</w:t>
      </w:r>
    </w:p>
    <w:p w:rsidR="00000000" w:rsidDel="00000000" w:rsidP="00000000" w:rsidRDefault="00000000" w:rsidRPr="00000000" w14:paraId="000000F0">
      <w:pPr>
        <w:numPr>
          <w:ilvl w:val="0"/>
          <w:numId w:val="49"/>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przed terminem rozpoczęcia wewnętrznego rozruchu testowego systemu w ramach Etapu I, przedstawi Zamawiającemu do akceptacji cennik zawierający wysokość opłat dodatkowych za korzystanie z SRM MEVO, przy czym opłaty nie mogą być wyższe niż:</w:t>
      </w:r>
    </w:p>
    <w:tbl>
      <w:tblPr>
        <w:tblStyle w:val="Table2"/>
        <w:tblW w:w="7466.0" w:type="dxa"/>
        <w:jc w:val="center"/>
        <w:tblLayout w:type="fixed"/>
        <w:tblLook w:val="0000"/>
      </w:tblPr>
      <w:tblGrid>
        <w:gridCol w:w="5802"/>
        <w:gridCol w:w="1664"/>
        <w:tblGridChange w:id="0">
          <w:tblGrid>
            <w:gridCol w:w="5802"/>
            <w:gridCol w:w="1664"/>
          </w:tblGrid>
        </w:tblGridChange>
      </w:tblGrid>
      <w:tr>
        <w:trPr>
          <w:trHeight w:val="300" w:hRule="atLeast"/>
        </w:trPr>
        <w:tc>
          <w:tcPr/>
          <w:p w:rsidR="00000000" w:rsidDel="00000000" w:rsidP="00000000" w:rsidRDefault="00000000" w:rsidRPr="00000000" w14:paraId="000000F1">
            <w:pPr>
              <w:widowControl w:val="0"/>
              <w:spacing w:after="60" w:line="276" w:lineRule="auto"/>
              <w:ind w:right="-1714"/>
              <w:rPr>
                <w:rFonts w:ascii="Calibri" w:cs="Calibri" w:eastAsia="Calibri" w:hAnsi="Calibri"/>
                <w:shd w:fill="cfe2f3" w:val="clear"/>
              </w:rPr>
            </w:pPr>
            <w:r w:rsidDel="00000000" w:rsidR="00000000" w:rsidRPr="00000000">
              <w:rPr>
                <w:rtl w:val="0"/>
              </w:rPr>
            </w:r>
          </w:p>
        </w:tc>
        <w:tc>
          <w:tcPr/>
          <w:p w:rsidR="00000000" w:rsidDel="00000000" w:rsidP="00000000" w:rsidRDefault="00000000" w:rsidRPr="00000000" w14:paraId="000000F2">
            <w:pPr>
              <w:widowControl w:val="0"/>
              <w:spacing w:after="60" w:line="276" w:lineRule="auto"/>
              <w:ind w:left="555" w:firstLine="0"/>
              <w:rPr>
                <w:rFonts w:ascii="Calibri" w:cs="Calibri" w:eastAsia="Calibri" w:hAnsi="Calibri"/>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F3">
            <w:pPr>
              <w:widowControl w:val="0"/>
              <w:spacing w:after="6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Opłaty dodatkowe</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F4">
            <w:pPr>
              <w:widowControl w:val="0"/>
              <w:spacing w:after="6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Max wartość</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Opłata inicjalna/rejestracyjna  do wykorzystania dla OMGGS</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F6">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max 10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Pozostawienie roweru poza Stacją Postoju (Totemem)</w:t>
            </w:r>
          </w:p>
        </w:tc>
        <w:tc>
          <w:tcPr>
            <w:tcBorders>
              <w:bottom w:color="000000" w:space="0" w:sz="4" w:val="single"/>
              <w:right w:color="000000" w:space="0" w:sz="4" w:val="single"/>
            </w:tcBorders>
          </w:tcPr>
          <w:p w:rsidR="00000000" w:rsidDel="00000000" w:rsidP="00000000" w:rsidRDefault="00000000" w:rsidRPr="00000000" w14:paraId="000000F8">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max 5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9">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Jazda na rowerze przez więcej niż 1 osobę </w:t>
            </w:r>
          </w:p>
        </w:tc>
        <w:tc>
          <w:tcPr>
            <w:tcBorders>
              <w:bottom w:color="000000" w:space="0" w:sz="4" w:val="single"/>
              <w:right w:color="000000" w:space="0" w:sz="4" w:val="single"/>
            </w:tcBorders>
          </w:tcPr>
          <w:p w:rsidR="00000000" w:rsidDel="00000000" w:rsidP="00000000" w:rsidRDefault="00000000" w:rsidRPr="00000000" w14:paraId="000000FA">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Opłata za zwrot roweru poza obszarem funkcjonowania systemu: </w:t>
            </w:r>
          </w:p>
        </w:tc>
        <w:tc>
          <w:tcPr>
            <w:tcBorders>
              <w:bottom w:color="000000" w:space="0" w:sz="4" w:val="single"/>
              <w:right w:color="000000" w:space="0" w:sz="4" w:val="single"/>
            </w:tcBorders>
          </w:tcPr>
          <w:p w:rsidR="00000000" w:rsidDel="00000000" w:rsidP="00000000" w:rsidRDefault="00000000" w:rsidRPr="00000000" w14:paraId="000000FC">
            <w:pPr>
              <w:widowControl w:val="0"/>
              <w:spacing w:after="60" w:line="276" w:lineRule="auto"/>
              <w:jc w:val="center"/>
              <w:rPr>
                <w:rFonts w:ascii="Calibri" w:cs="Calibri" w:eastAsia="Calibri" w:hAnsi="Calibri"/>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0"/>
              <w:numPr>
                <w:ilvl w:val="0"/>
                <w:numId w:val="47"/>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 km (od najbliższej Stacji Postoju)</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FE">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0"/>
              <w:numPr>
                <w:ilvl w:val="0"/>
                <w:numId w:val="27"/>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50 km (od najbliższej Stacji Postoju)</w:t>
            </w:r>
          </w:p>
        </w:tc>
        <w:tc>
          <w:tcPr>
            <w:tcBorders>
              <w:bottom w:color="000000" w:space="0" w:sz="4" w:val="single"/>
              <w:right w:color="000000" w:space="0" w:sz="4" w:val="single"/>
            </w:tcBorders>
          </w:tcPr>
          <w:p w:rsidR="00000000" w:rsidDel="00000000" w:rsidP="00000000" w:rsidRDefault="00000000" w:rsidRPr="00000000" w14:paraId="00000100">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250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0"/>
              <w:numPr>
                <w:ilvl w:val="0"/>
                <w:numId w:val="39"/>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102">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500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0"/>
              <w:numPr>
                <w:ilvl w:val="0"/>
                <w:numId w:val="37"/>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powyżej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104">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1 000 zł</w:t>
            </w:r>
          </w:p>
        </w:tc>
      </w:tr>
      <w:tr>
        <w:trPr>
          <w:trHeight w:val="300" w:hRule="atLeast"/>
        </w:trPr>
        <w:tc>
          <w:tcPr>
            <w:tcBorders>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105">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Porzucenie roweru  w Strefie Niedozwolonej </w:t>
            </w:r>
          </w:p>
          <w:p w:rsidR="00000000" w:rsidDel="00000000" w:rsidP="00000000" w:rsidRDefault="00000000" w:rsidRPr="00000000" w14:paraId="00000106">
            <w:pPr>
              <w:widowControl w:val="0"/>
              <w:spacing w:after="60" w:line="276" w:lineRule="auto"/>
              <w:rPr>
                <w:rFonts w:ascii="Calibri" w:cs="Calibri" w:eastAsia="Calibri" w:hAnsi="Calibri"/>
              </w:rPr>
            </w:pPr>
            <w:r w:rsidDel="00000000" w:rsidR="00000000" w:rsidRPr="00000000">
              <w:rPr>
                <w:rFonts w:ascii="Calibri" w:cs="Calibri" w:eastAsia="Calibri" w:hAnsi="Calibri"/>
                <w:sz w:val="16"/>
                <w:szCs w:val="16"/>
                <w:rtl w:val="0"/>
              </w:rPr>
              <w:t xml:space="preserve">(tj. posesji zamkniętej, miejsca bez możliwości dostępu ):</w:t>
            </w:r>
            <w:r w:rsidDel="00000000" w:rsidR="00000000" w:rsidRPr="00000000">
              <w:rPr>
                <w:rtl w:val="0"/>
              </w:rPr>
            </w:r>
          </w:p>
        </w:tc>
        <w:tc>
          <w:tcPr>
            <w:tcBorders>
              <w:bottom w:color="000000" w:space="0" w:sz="4" w:val="single"/>
              <w:right w:color="000000" w:space="0" w:sz="4" w:val="single"/>
            </w:tcBorders>
            <w:shd w:fill="fbd5b5" w:val="clear"/>
          </w:tcPr>
          <w:p w:rsidR="00000000" w:rsidDel="00000000" w:rsidP="00000000" w:rsidRDefault="00000000" w:rsidRPr="00000000" w14:paraId="00000107">
            <w:pPr>
              <w:widowControl w:val="0"/>
              <w:spacing w:after="60" w:line="276" w:lineRule="auto"/>
              <w:jc w:val="center"/>
              <w:rPr>
                <w:rFonts w:ascii="Calibri" w:cs="Calibri" w:eastAsia="Calibri" w:hAnsi="Calibri"/>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08">
            <w:pPr>
              <w:widowControl w:val="0"/>
              <w:numPr>
                <w:ilvl w:val="0"/>
                <w:numId w:val="45"/>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 km (od najbliższej Stacji Postoju)</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09">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450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0A">
            <w:pPr>
              <w:widowControl w:val="0"/>
              <w:numPr>
                <w:ilvl w:val="0"/>
                <w:numId w:val="52"/>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50 km (od najbliższej Stacji Postoju)</w:t>
            </w:r>
          </w:p>
        </w:tc>
        <w:tc>
          <w:tcPr>
            <w:tcBorders>
              <w:bottom w:color="000000" w:space="0" w:sz="4" w:val="single"/>
              <w:right w:color="000000" w:space="0" w:sz="4" w:val="single"/>
            </w:tcBorders>
          </w:tcPr>
          <w:p w:rsidR="00000000" w:rsidDel="00000000" w:rsidP="00000000" w:rsidRDefault="00000000" w:rsidRPr="00000000" w14:paraId="0000010B">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650 zł</w:t>
            </w:r>
          </w:p>
        </w:tc>
      </w:tr>
      <w:tr>
        <w:trPr>
          <w:trHeight w:val="375"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numPr>
                <w:ilvl w:val="0"/>
                <w:numId w:val="12"/>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10D">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900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0E">
            <w:pPr>
              <w:widowControl w:val="0"/>
              <w:numPr>
                <w:ilvl w:val="0"/>
                <w:numId w:val="56"/>
              </w:numP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powyżej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10F">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1 400 zł</w:t>
            </w:r>
          </w:p>
        </w:tc>
      </w:tr>
      <w:tr>
        <w:trPr>
          <w:trHeight w:val="374"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Kara za przewóz roweru tramwajem wodnym lub innymi środkami  transportu (pociąg, autobus, samochód itd.)</w:t>
            </w:r>
          </w:p>
        </w:tc>
        <w:tc>
          <w:tcPr>
            <w:tcBorders>
              <w:bottom w:color="000000" w:space="0" w:sz="4" w:val="single"/>
              <w:right w:color="000000" w:space="0" w:sz="4" w:val="single"/>
            </w:tcBorders>
          </w:tcPr>
          <w:p w:rsidR="00000000" w:rsidDel="00000000" w:rsidP="00000000" w:rsidRDefault="00000000" w:rsidRPr="00000000" w14:paraId="00000111">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Jazda rowerem po plaży</w:t>
            </w:r>
          </w:p>
        </w:tc>
        <w:tc>
          <w:tcPr>
            <w:tcBorders>
              <w:bottom w:color="000000" w:space="0" w:sz="4" w:val="single"/>
              <w:right w:color="000000" w:space="0" w:sz="4" w:val="single"/>
            </w:tcBorders>
          </w:tcPr>
          <w:p w:rsidR="00000000" w:rsidDel="00000000" w:rsidP="00000000" w:rsidRDefault="00000000" w:rsidRPr="00000000" w14:paraId="00000113">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80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Nieautoryzowany przejazd tj. </w:t>
            </w:r>
            <w:r w:rsidDel="00000000" w:rsidR="00000000" w:rsidRPr="00000000">
              <w:rPr>
                <w:rFonts w:ascii="Calibri" w:cs="Calibri" w:eastAsia="Calibri" w:hAnsi="Calibri"/>
                <w:highlight w:val="white"/>
                <w:rtl w:val="0"/>
              </w:rPr>
              <w:t xml:space="preserve">korzystanie z roweru bez zarejestrowanego wypożyczenia na koncie użytkownika</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15">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Zastosowanie niewłaściwych zabezpieczeń</w:t>
            </w:r>
          </w:p>
        </w:tc>
        <w:tc>
          <w:tcPr>
            <w:tcBorders>
              <w:bottom w:color="000000" w:space="0" w:sz="4" w:val="single"/>
              <w:right w:color="000000" w:space="0" w:sz="4" w:val="single"/>
            </w:tcBorders>
          </w:tcPr>
          <w:p w:rsidR="00000000" w:rsidDel="00000000" w:rsidP="00000000" w:rsidRDefault="00000000" w:rsidRPr="00000000" w14:paraId="00000117">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200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18">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Kradzież, utrata lub zniszczenie roweru*</w:t>
            </w:r>
          </w:p>
        </w:tc>
        <w:tc>
          <w:tcPr>
            <w:tcBorders>
              <w:bottom w:color="000000" w:space="0" w:sz="4" w:val="single"/>
              <w:right w:color="000000" w:space="0" w:sz="4" w:val="single"/>
            </w:tcBorders>
          </w:tcPr>
          <w:p w:rsidR="00000000" w:rsidDel="00000000" w:rsidP="00000000" w:rsidRDefault="00000000" w:rsidRPr="00000000" w14:paraId="00000119">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12 000 zł</w:t>
            </w:r>
          </w:p>
        </w:tc>
      </w:tr>
    </w:tbl>
    <w:p w:rsidR="00000000" w:rsidDel="00000000" w:rsidP="00000000" w:rsidRDefault="00000000" w:rsidRPr="00000000" w14:paraId="0000011A">
      <w:pPr>
        <w:widowControl w:val="0"/>
        <w:tabs>
          <w:tab w:val="left" w:pos="255"/>
          <w:tab w:val="left" w:pos="850"/>
          <w:tab w:val="left" w:pos="1350"/>
          <w:tab w:val="left" w:pos="2111"/>
        </w:tabs>
        <w:spacing w:after="60" w:line="276" w:lineRule="auto"/>
        <w:ind w:left="850" w:right="727"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Strony zastrzegają, iż Zamawiający w żaden sposób nie odpowiada za zapłatę przez Klientów wyżej wskazanych Opłat dodatkowych. Dochodzenie wyżej wskazanych Opłat dodatkowych stanowi prawo Wykonawcy. Brak uzyskania przez Wykonawcę Opłat dodatkowych nie uprawnia Wykonawcy do dochodzenia odszkodowania od Zamawiającego. </w:t>
      </w:r>
    </w:p>
    <w:p w:rsidR="00000000" w:rsidDel="00000000" w:rsidP="00000000" w:rsidRDefault="00000000" w:rsidRPr="00000000" w14:paraId="0000011B">
      <w:pPr>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Dodatkowo Wykonawca, za pisemną zgodą Zamawiającego udzieloną pod rygorem nieważności, może ustanowić bonus dla Użytkownika za przyprowadzenie roweru do Stacji Postoju (Totemu) w minimalnej kwocie 2 zł.</w:t>
      </w:r>
    </w:p>
    <w:p w:rsidR="00000000" w:rsidDel="00000000" w:rsidP="00000000" w:rsidRDefault="00000000" w:rsidRPr="00000000" w14:paraId="0000011D">
      <w:pPr>
        <w:spacing w:after="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Podane w Tabeli opłaty zawierają podatek VAT</w:t>
      </w:r>
      <w:r w:rsidDel="00000000" w:rsidR="00000000" w:rsidRPr="00000000">
        <w:rPr>
          <w:rtl w:val="0"/>
        </w:rPr>
      </w:r>
    </w:p>
    <w:p w:rsidR="00000000" w:rsidDel="00000000" w:rsidP="00000000" w:rsidRDefault="00000000" w:rsidRPr="00000000" w14:paraId="0000011E">
      <w:pPr>
        <w:widowControl w:val="0"/>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Strony na etapie konsultacji projektów regulaminów korzystania z SRM MEVO mogą za wspólną zgodą obniżyć wysokość w/w opłat. </w:t>
      </w:r>
    </w:p>
    <w:p w:rsidR="00000000" w:rsidDel="00000000" w:rsidP="00000000" w:rsidRDefault="00000000" w:rsidRPr="00000000" w14:paraId="0000011F">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nie obciąży Klienta dodatkowymi kosztami, ani opłatami, z tytułu transakcji bezgotówkowych. </w:t>
      </w:r>
    </w:p>
    <w:p w:rsidR="00000000" w:rsidDel="00000000" w:rsidP="00000000" w:rsidRDefault="00000000" w:rsidRPr="00000000" w14:paraId="00000120">
      <w:pPr>
        <w:widowControl w:val="0"/>
        <w:tabs>
          <w:tab w:val="left" w:pos="255"/>
          <w:tab w:val="left" w:pos="850"/>
          <w:tab w:val="left" w:pos="1350"/>
          <w:tab w:val="left" w:pos="2111"/>
        </w:tabs>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Wyżej wskazane opłaty mogą być waloryzowane przez Wykonawcę co roku, do końca I kwartału każdego roku kalendarzowego (jednak pierwsza waloryzacja może nastąpić ze skutkiem od 1 stycznia 2023 r.), o wysokość wskaźnika wzrostu cen towarów i usług konsumpcyjnych ogłaszanego przez Prezesa GUS za rok poprzedni. Każdego roku kolejnej waloryzacji, poczynając od drugiej waloryzacji, będzie podlegała wysokość opłat zwaloryzowana w roku poprzednim. Waloryzacja opłat nie wymaga zmiany Umowy, ale musi się odbyć za wiedzą Zamawiającego. W przypadku przystąpienia Polski do strefy EURO, waloryzacja będzie dokonywana w wysokości odpowiadającej wysokości publikowanego przez EUROSTAT zharmonizowanego wskaźnika wzrostu cen konsumpcyjnych w Unii Europejskiej (</w:t>
      </w:r>
      <w:r w:rsidDel="00000000" w:rsidR="00000000" w:rsidRPr="00000000">
        <w:rPr>
          <w:rFonts w:ascii="Calibri" w:cs="Calibri" w:eastAsia="Calibri" w:hAnsi="Calibri"/>
          <w:i w:val="1"/>
          <w:rtl w:val="0"/>
        </w:rPr>
        <w:t xml:space="preserve">EU harmonized indices of consumer prices</w:t>
      </w:r>
      <w:r w:rsidDel="00000000" w:rsidR="00000000" w:rsidRPr="00000000">
        <w:rPr>
          <w:rFonts w:ascii="Calibri" w:cs="Calibri" w:eastAsia="Calibri" w:hAnsi="Calibri"/>
          <w:rtl w:val="0"/>
        </w:rPr>
        <w:t xml:space="preserve">; EU-27) za poprzedni rok kalendarzowy (lub, w wypadku gdyby indeks ten nie był już publikowany, indeksu, który go będzie zastępować) na analogicznych zasadach co powyżej.</w:t>
      </w:r>
    </w:p>
    <w:p w:rsidR="00000000" w:rsidDel="00000000" w:rsidP="00000000" w:rsidRDefault="00000000" w:rsidRPr="00000000" w14:paraId="00000121">
      <w:pPr>
        <w:widowControl w:val="0"/>
        <w:tabs>
          <w:tab w:val="left" w:pos="255"/>
          <w:tab w:val="left" w:pos="850"/>
          <w:tab w:val="left" w:pos="1350"/>
          <w:tab w:val="left" w:pos="2111"/>
        </w:tabs>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W przypadku gdyby kradzież utrata lub zniszczenie roweru dotyczyły roweru stanowiącego własność Zamawiającego wszelkie środki uzyskane od użytkownika związane z karą, przekazane zostaną Zamawiającemu. </w:t>
      </w:r>
    </w:p>
    <w:p w:rsidR="00000000" w:rsidDel="00000000" w:rsidP="00000000" w:rsidRDefault="00000000" w:rsidRPr="00000000" w14:paraId="00000122">
      <w:pPr>
        <w:widowControl w:val="0"/>
        <w:tabs>
          <w:tab w:val="left" w:pos="255"/>
          <w:tab w:val="left" w:pos="850"/>
          <w:tab w:val="left" w:pos="1350"/>
          <w:tab w:val="left" w:pos="2111"/>
        </w:tabs>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keepNext w:val="1"/>
        <w:numPr>
          <w:ilvl w:val="0"/>
          <w:numId w:val="26"/>
        </w:numPr>
        <w:spacing w:after="60" w:line="276" w:lineRule="auto"/>
        <w:ind w:left="432" w:hanging="432"/>
        <w:jc w:val="center"/>
        <w:rPr>
          <w:rFonts w:ascii="Calibri" w:cs="Calibri" w:eastAsia="Calibri" w:hAnsi="Calibri"/>
        </w:rPr>
      </w:pPr>
      <w:r w:rsidDel="00000000" w:rsidR="00000000" w:rsidRPr="00000000">
        <w:rPr>
          <w:rFonts w:ascii="Calibri" w:cs="Calibri" w:eastAsia="Calibri" w:hAnsi="Calibri"/>
          <w:b w:val="1"/>
          <w:rtl w:val="0"/>
        </w:rPr>
        <w:t xml:space="preserve">§ 6 – Obowiązki Wykonawcy</w:t>
      </w:r>
      <w:r w:rsidDel="00000000" w:rsidR="00000000" w:rsidRPr="00000000">
        <w:rPr>
          <w:rtl w:val="0"/>
        </w:rPr>
      </w:r>
    </w:p>
    <w:p w:rsidR="00000000" w:rsidDel="00000000" w:rsidP="00000000" w:rsidRDefault="00000000" w:rsidRPr="00000000" w14:paraId="00000124">
      <w:pPr>
        <w:numPr>
          <w:ilvl w:val="0"/>
          <w:numId w:val="41"/>
        </w:numPr>
        <w:spacing w:after="60" w:line="276"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Wykonawca zobowiązuje się wykonać Przedmiot Umowy wedle najlepszych rozwiązań współczesnej wiedzy technicznej, obowiązujących norm oraz przepisów prawa, SIWZ (w tym OPZ) oraz przy uwzględnieniu wymogu najwyższej staranności.</w:t>
      </w:r>
    </w:p>
    <w:p w:rsidR="00000000" w:rsidDel="00000000" w:rsidP="00000000" w:rsidRDefault="00000000" w:rsidRPr="00000000" w14:paraId="00000125">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oświadcza, że jest przygotowany do wykonania Przedmiotu Umowy pod względem technicznym i organizacyjnym, posiada niezbędną wiedzę i potencjał do wykonania prac stanowiących Przedmiot Umowy oraz posiada środki finansowe niezbędne do realizacji Przedmiotu Umowy.</w:t>
      </w:r>
    </w:p>
    <w:p w:rsidR="00000000" w:rsidDel="00000000" w:rsidP="00000000" w:rsidRDefault="00000000" w:rsidRPr="00000000" w14:paraId="00000126">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oświadcza i zobowiązuje się, że będzie ponosił odpowiedzialność za wszelkie swoje działania i zaniechania oraz działania i zaniechania swoich ewentualnych pracowników i osób trzecich, Podwykonawców, którymi będzie się posługiwał przy realizacji Przedmiotu Umowy.</w:t>
      </w:r>
    </w:p>
    <w:p w:rsidR="00000000" w:rsidDel="00000000" w:rsidP="00000000" w:rsidRDefault="00000000" w:rsidRPr="00000000" w14:paraId="00000127">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Wszelkie koszty związane z wykonaniem Umowy ponosi Wykonawca, w szczególności Wykonawca na własny koszt i ryzyko dokonuje zakupu wszelkich usług, materiałów, surowców, urządzeń, wyposażenia, projektów i oprogramowania, jak również ponosi koszty transportu i również opłaca ewentualnych pracowników i Podwykonawców zatrudnionych przy realizacji Przedmiotu Umowy. </w:t>
      </w:r>
    </w:p>
    <w:p w:rsidR="00000000" w:rsidDel="00000000" w:rsidP="00000000" w:rsidRDefault="00000000" w:rsidRPr="00000000" w14:paraId="00000128">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Jeżeli w związku z wykonaniem Umowy powstanie obowiązek uiszczenia jakiejkolwiek opłaty administracyjnej lub skarbowej, Wykonawca zobowiązuje się uiścić ją we właściwym urzędzie w terminie określonym w obowiązujących przepisach prawa. Uiszczenie takiej opłaty nie wpływa na wysokość wynagrodzenia Wykonawcy określoną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14 Umowy.</w:t>
      </w:r>
    </w:p>
    <w:p w:rsidR="00000000" w:rsidDel="00000000" w:rsidP="00000000" w:rsidRDefault="00000000" w:rsidRPr="00000000" w14:paraId="00000129">
      <w:pPr>
        <w:numPr>
          <w:ilvl w:val="0"/>
          <w:numId w:val="41"/>
        </w:numPr>
        <w:tabs>
          <w:tab w:val="left" w:pos="194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gwarantuje, że rowery, urządzenia i wyposażenie, które dostarczy i będą wykorzystywane w celu realizacji Przedmiotu Umowy, będą spełniały warunki określone w SIWZ oraz będą: nowe, nieużywane, wyprodukowane według najnowszych osiągnięć technicznych i odpowiadać będą najwyższym standardom jakościowym, bezpieczeństwa i ochrony środowiska dotyczącym materiałów i wykonawstwa. Wykonawca gwarantuje także, że dostarczane rowery oraz elementy SRM MEVO wolne będą od jakichkolwiek wad produkcyjnych, konstrukcyjnych, materiałowych lub wynikających z nienależytej jakości ich wykonania oraz będą zgodne z parametrami technicznymi podanymi przez producenta i zaakceptowaną przez Zamawiającego dokumentacją projektową i SIWZ. Powyższe nie dotyczy elementów SRM MEVO przekazanych Wykonawcy  przez Zamawiającego.</w:t>
      </w:r>
    </w:p>
    <w:p w:rsidR="00000000" w:rsidDel="00000000" w:rsidP="00000000" w:rsidRDefault="00000000" w:rsidRPr="00000000" w14:paraId="0000012A">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Użyte przy wykonywaniu Przedmiotu Umowy urządzenia i materiały muszą posiadać wszystkie wymagane atesty, certyfikaty oraz dopuszczenia do ich stosowania zgodnie z przepisami obowiązującymi na terenie Polski i Unii Europejskiej.</w:t>
      </w:r>
    </w:p>
    <w:p w:rsidR="00000000" w:rsidDel="00000000" w:rsidP="00000000" w:rsidRDefault="00000000" w:rsidRPr="00000000" w14:paraId="0000012B">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gwarantuje najwyższą jakość wykonanych przez niego prac.</w:t>
      </w:r>
    </w:p>
    <w:p w:rsidR="00000000" w:rsidDel="00000000" w:rsidP="00000000" w:rsidRDefault="00000000" w:rsidRPr="00000000" w14:paraId="0000012C">
      <w:pPr>
        <w:numPr>
          <w:ilvl w:val="0"/>
          <w:numId w:val="41"/>
        </w:numPr>
        <w:tabs>
          <w:tab w:val="left" w:pos="50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zobowiązuje się wykonać Przedmiot Umowy w sposób:</w:t>
      </w:r>
    </w:p>
    <w:p w:rsidR="00000000" w:rsidDel="00000000" w:rsidP="00000000" w:rsidRDefault="00000000" w:rsidRPr="00000000" w14:paraId="0000012D">
      <w:pPr>
        <w:numPr>
          <w:ilvl w:val="1"/>
          <w:numId w:val="41"/>
        </w:numPr>
        <w:tabs>
          <w:tab w:val="left" w:pos="3382"/>
        </w:tabs>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zapewniający osiągnięcie przez niego cech i funkcjonalności określonych w Umowie, SIWZ i Koncepcji funkcjonowania;</w:t>
      </w:r>
    </w:p>
    <w:p w:rsidR="00000000" w:rsidDel="00000000" w:rsidP="00000000" w:rsidRDefault="00000000" w:rsidRPr="00000000" w14:paraId="0000012E">
      <w:pPr>
        <w:numPr>
          <w:ilvl w:val="1"/>
          <w:numId w:val="41"/>
        </w:numPr>
        <w:tabs>
          <w:tab w:val="left" w:pos="3382"/>
        </w:tabs>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zgodny z zatwierdzonym projektem i obowiązującymi przepisami prawa;</w:t>
      </w:r>
    </w:p>
    <w:p w:rsidR="00000000" w:rsidDel="00000000" w:rsidP="00000000" w:rsidRDefault="00000000" w:rsidRPr="00000000" w14:paraId="0000012F">
      <w:pPr>
        <w:numPr>
          <w:ilvl w:val="1"/>
          <w:numId w:val="41"/>
        </w:numPr>
        <w:tabs>
          <w:tab w:val="left" w:pos="3382"/>
        </w:tabs>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terminowy;</w:t>
      </w:r>
    </w:p>
    <w:p w:rsidR="00000000" w:rsidDel="00000000" w:rsidP="00000000" w:rsidRDefault="00000000" w:rsidRPr="00000000" w14:paraId="00000130">
      <w:pPr>
        <w:numPr>
          <w:ilvl w:val="1"/>
          <w:numId w:val="41"/>
        </w:numPr>
        <w:tabs>
          <w:tab w:val="left" w:pos="3382"/>
        </w:tabs>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zapewniający oddanie do eksploatacji SRM MEVO, wolnego od wad fizycznych i prawnych.</w:t>
      </w:r>
    </w:p>
    <w:p w:rsidR="00000000" w:rsidDel="00000000" w:rsidP="00000000" w:rsidRDefault="00000000" w:rsidRPr="00000000" w14:paraId="00000131">
      <w:pPr>
        <w:numPr>
          <w:ilvl w:val="0"/>
          <w:numId w:val="41"/>
        </w:numPr>
        <w:tabs>
          <w:tab w:val="left" w:pos="3382"/>
        </w:tabs>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zobowiązany jest przekazać Zamawiającemu numery seryjne ram rowerów. Wykonawca zobowiązany jest niezwłocznie poinformować pisemnie Zamawiającego o wszelkich zmianach w zakresie rowerów funkcjonujących w ramach SRM MEVO, to jest o fakcie wyłączenia danego roweru z SRM MEVO oraz o fakcie włączenia danego roweru do SRM MEVO.  </w:t>
      </w:r>
    </w:p>
    <w:p w:rsidR="00000000" w:rsidDel="00000000" w:rsidP="00000000" w:rsidRDefault="00000000" w:rsidRPr="00000000" w14:paraId="00000132">
      <w:pPr>
        <w:numPr>
          <w:ilvl w:val="0"/>
          <w:numId w:val="41"/>
        </w:numPr>
        <w:spacing w:after="60" w:line="276" w:lineRule="auto"/>
        <w:ind w:left="360" w:hanging="360"/>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Wykonawca dokona integracji organizacyjno – funkcjonalnej SRM MEVO z systemem FALA na zasadach określonych w OPZ z wykorzystaniem dedykowanego interfejsu API MEVO-FALA; w ciągu 6 miesięcy od momentu działania obu systemów równolegle i jednocześnie. </w:t>
      </w:r>
    </w:p>
    <w:p w:rsidR="00000000" w:rsidDel="00000000" w:rsidP="00000000" w:rsidRDefault="00000000" w:rsidRPr="00000000" w14:paraId="00000133">
      <w:pPr>
        <w:numPr>
          <w:ilvl w:val="0"/>
          <w:numId w:val="4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odpowiedzialny będzie za wdrożenie wewnętrznych procedur i polityk w sprawie prewencji dot. koronawirusa Covid 19, a w szczególności procedur dezynfekcji floty rowerowej i infrastruktury SRM MEVO.</w:t>
      </w:r>
    </w:p>
    <w:p w:rsidR="00000000" w:rsidDel="00000000" w:rsidP="00000000" w:rsidRDefault="00000000" w:rsidRPr="00000000" w14:paraId="00000134">
      <w:pPr>
        <w:numPr>
          <w:ilvl w:val="0"/>
          <w:numId w:val="41"/>
        </w:numPr>
        <w:spacing w:after="60" w:line="276" w:lineRule="auto"/>
        <w:ind w:left="360" w:hanging="360"/>
        <w:jc w:val="both"/>
        <w:rPr>
          <w:rFonts w:ascii="Calibri" w:cs="Calibri" w:eastAsia="Calibri" w:hAnsi="Calibri"/>
        </w:rPr>
      </w:pPr>
      <w:bookmarkStart w:colFirst="0" w:colLast="0" w:name="_heading=h.4f1mdlm" w:id="30"/>
      <w:bookmarkEnd w:id="30"/>
      <w:r w:rsidDel="00000000" w:rsidR="00000000" w:rsidRPr="00000000">
        <w:rPr>
          <w:rFonts w:ascii="Calibri" w:cs="Calibri" w:eastAsia="Calibri" w:hAnsi="Calibri"/>
          <w:highlight w:val="white"/>
          <w:rtl w:val="0"/>
        </w:rPr>
        <w:t xml:space="preserve">Na obszarze funkcjonowania SRM MEVO, Wykonawca zapewni lokalne punkty serwisowe w liczbie wskazanej w Koncepcji funkcjonowania. Każdy punkt musi być zlokalizowany w innej miejscowości. Punkty będą funkcjonować przez cały okres funkcjonowania SRM MEVO. </w:t>
      </w:r>
      <w:r w:rsidDel="00000000" w:rsidR="00000000" w:rsidRPr="00000000">
        <w:rPr>
          <w:rtl w:val="0"/>
        </w:rPr>
      </w:r>
    </w:p>
    <w:p w:rsidR="00000000" w:rsidDel="00000000" w:rsidP="00000000" w:rsidRDefault="00000000" w:rsidRPr="00000000" w14:paraId="00000135">
      <w:pPr>
        <w:spacing w:after="6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7 – Pełnomocnictwo</w:t>
      </w:r>
      <w:r w:rsidDel="00000000" w:rsidR="00000000" w:rsidRPr="00000000">
        <w:rPr>
          <w:rtl w:val="0"/>
        </w:rPr>
      </w:r>
    </w:p>
    <w:p w:rsidR="00000000" w:rsidDel="00000000" w:rsidP="00000000" w:rsidRDefault="00000000" w:rsidRPr="00000000" w14:paraId="00000137">
      <w:pPr>
        <w:numPr>
          <w:ilvl w:val="0"/>
          <w:numId w:val="32"/>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ramach realizacji czynności i obowiązków niezbędnych dla wykonania Przedmiotu Umowy, Wykonawca uprawniony jest do wykonywania wszelkich uprawnień strony w postępowaniach administracyjnych z udziałem Wykonawcy, jako pełnomocnika Zamawiającego. Przy wykonywaniu powyższych uprawnień Wykonawca, we własnym zakresie, dokonuje wszelkich czynności niezbędnych dla terminowego uzyskania koniecznych decyzji, pozwoleń, zezwoleń, uzgodnień, dopuszczeń, informacji, opinii i raportów, w tym także, poprzez składanie odpowiednich wniosków i środków zaskarżenia oraz monitorowanie przebiegu postępowania administracyjnego.</w:t>
      </w:r>
    </w:p>
    <w:p w:rsidR="00000000" w:rsidDel="00000000" w:rsidP="00000000" w:rsidRDefault="00000000" w:rsidRPr="00000000" w14:paraId="00000138">
      <w:pPr>
        <w:numPr>
          <w:ilvl w:val="0"/>
          <w:numId w:val="32"/>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udzielać będzie Wykonawcy i/lub osobom wyznaczonym przez Wykonawcę pełnomocnictwa niezbędnego do występowania w jego imieniu w postępowaniu administracyjnym niezbędnym do wykonywania Umowy, w szczególności w postępowaniu o wydanie wszelkich opinii, uzgodnień, zezwoleń i decyzji dotyczących SRM MEVO.</w:t>
      </w:r>
    </w:p>
    <w:p w:rsidR="00000000" w:rsidDel="00000000" w:rsidP="00000000" w:rsidRDefault="00000000" w:rsidRPr="00000000" w14:paraId="00000139">
      <w:pPr>
        <w:numPr>
          <w:ilvl w:val="0"/>
          <w:numId w:val="32"/>
        </w:numPr>
        <w:spacing w:after="60" w:line="276" w:lineRule="auto"/>
        <w:ind w:left="360" w:hanging="360"/>
        <w:jc w:val="both"/>
        <w:rPr>
          <w:rFonts w:ascii="Calibri" w:cs="Calibri" w:eastAsia="Calibri" w:hAnsi="Calibri"/>
        </w:rPr>
      </w:pPr>
      <w:bookmarkStart w:colFirst="0" w:colLast="0" w:name="_heading=h.3j2qqm3" w:id="31"/>
      <w:bookmarkEnd w:id="31"/>
      <w:r w:rsidDel="00000000" w:rsidR="00000000" w:rsidRPr="00000000">
        <w:rPr>
          <w:rFonts w:ascii="Calibri" w:cs="Calibri" w:eastAsia="Calibri" w:hAnsi="Calibri"/>
          <w:rtl w:val="0"/>
        </w:rPr>
        <w:t xml:space="preserve">Wykonawca zobowiązany jest do niezwłocznego poinformowania Zamawiającego o każdym przypadku, w którym okaże się niezbędne dokonanie zmiany lub rozszerzenia pełnomocnictwa albo udzielenia nowego pełnomocnictwa koniecznego do zapewnienia wykonania przez Wykonawcę obowiązków wynikających z Umowy.</w:t>
      </w:r>
    </w:p>
    <w:p w:rsidR="00000000" w:rsidDel="00000000" w:rsidP="00000000" w:rsidRDefault="00000000" w:rsidRPr="00000000" w14:paraId="0000013A">
      <w:pPr>
        <w:keepNext w:val="1"/>
        <w:numPr>
          <w:ilvl w:val="0"/>
          <w:numId w:val="26"/>
        </w:numPr>
        <w:spacing w:after="60" w:line="276" w:lineRule="auto"/>
        <w:ind w:left="432" w:hanging="432"/>
        <w:jc w:val="center"/>
        <w:rPr>
          <w:rFonts w:ascii="Calibri" w:cs="Calibri" w:eastAsia="Calibri" w:hAnsi="Calibri"/>
        </w:rPr>
      </w:pPr>
      <w:bookmarkStart w:colFirst="0" w:colLast="0" w:name="_heading=h.1y810tw" w:id="32"/>
      <w:bookmarkEnd w:id="32"/>
      <w:r w:rsidDel="00000000" w:rsidR="00000000" w:rsidRPr="00000000">
        <w:rPr>
          <w:rtl w:val="0"/>
        </w:rPr>
      </w:r>
    </w:p>
    <w:p w:rsidR="00000000" w:rsidDel="00000000" w:rsidP="00000000" w:rsidRDefault="00000000" w:rsidRPr="00000000" w14:paraId="0000013B">
      <w:pPr>
        <w:keepNext w:val="1"/>
        <w:numPr>
          <w:ilvl w:val="0"/>
          <w:numId w:val="26"/>
        </w:numPr>
        <w:spacing w:after="60" w:line="276" w:lineRule="auto"/>
        <w:ind w:left="432" w:hanging="432"/>
        <w:jc w:val="center"/>
        <w:rPr>
          <w:rFonts w:ascii="Calibri" w:cs="Calibri" w:eastAsia="Calibri" w:hAnsi="Calibri"/>
        </w:rPr>
      </w:pPr>
      <w:r w:rsidDel="00000000" w:rsidR="00000000" w:rsidRPr="00000000">
        <w:rPr>
          <w:rFonts w:ascii="Calibri" w:cs="Calibri" w:eastAsia="Calibri" w:hAnsi="Calibri"/>
          <w:b w:val="1"/>
          <w:rtl w:val="0"/>
        </w:rPr>
        <w:t xml:space="preserve">§ 8 - Lokalizacje i dostępność</w:t>
      </w:r>
      <w:r w:rsidDel="00000000" w:rsidR="00000000" w:rsidRPr="00000000">
        <w:rPr>
          <w:rtl w:val="0"/>
        </w:rPr>
      </w:r>
    </w:p>
    <w:p w:rsidR="00000000" w:rsidDel="00000000" w:rsidP="00000000" w:rsidRDefault="00000000" w:rsidRPr="00000000" w14:paraId="0000013C">
      <w:pPr>
        <w:numPr>
          <w:ilvl w:val="0"/>
          <w:numId w:val="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przekaże Wykonawcy wykaz lokalizacji, na których są lub powinny zostać utworzone Stacje Postoju zgodnie z § 4 ust. 10, w postaci spisu numerów działek i współrzędnych GPS oraz map orientacyjnych z zaznaczonymi lokalizacjami Stacji Postoju. </w:t>
      </w:r>
    </w:p>
    <w:p w:rsidR="00000000" w:rsidDel="00000000" w:rsidP="00000000" w:rsidRDefault="00000000" w:rsidRPr="00000000" w14:paraId="0000013D">
      <w:pPr>
        <w:numPr>
          <w:ilvl w:val="0"/>
          <w:numId w:val="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zagwarantuje nieodpłatne (w tym w pasie drogi zgodnie z art. 22 Ustawy z dnia 21 marca 1985 r. o drogach publicznych tekst jednolity: </w:t>
      </w:r>
      <w:hyperlink r:id="rId7">
        <w:r w:rsidDel="00000000" w:rsidR="00000000" w:rsidRPr="00000000">
          <w:rPr>
            <w:rFonts w:ascii="Calibri" w:cs="Calibri" w:eastAsia="Calibri" w:hAnsi="Calibri"/>
            <w:u w:val="single"/>
            <w:rtl w:val="0"/>
          </w:rPr>
          <w:t xml:space="preserve">Dz.U. 2020 poz. 470</w:t>
        </w:r>
      </w:hyperlink>
      <w:r w:rsidDel="00000000" w:rsidR="00000000" w:rsidRPr="00000000">
        <w:rPr>
          <w:rFonts w:ascii="Calibri" w:cs="Calibri" w:eastAsia="Calibri" w:hAnsi="Calibri"/>
          <w:rtl w:val="0"/>
        </w:rPr>
        <w:t xml:space="preserve"> ze zm.) udostępnienie Wykonawcy wydzielonych części nieruchomości wskazanych pod lokalizacje Stacji Postoju.</w:t>
      </w:r>
    </w:p>
    <w:p w:rsidR="00000000" w:rsidDel="00000000" w:rsidP="00000000" w:rsidRDefault="00000000" w:rsidRPr="00000000" w14:paraId="0000013E">
      <w:pPr>
        <w:numPr>
          <w:ilvl w:val="0"/>
          <w:numId w:val="6"/>
        </w:numPr>
        <w:spacing w:after="60" w:line="276" w:lineRule="auto"/>
        <w:ind w:left="360" w:hanging="360"/>
        <w:jc w:val="both"/>
        <w:rPr>
          <w:rFonts w:ascii="Calibri" w:cs="Calibri" w:eastAsia="Calibri" w:hAnsi="Calibri"/>
        </w:rPr>
      </w:pPr>
      <w:bookmarkStart w:colFirst="0" w:colLast="0" w:name="_heading=h.17dp8vu" w:id="33"/>
      <w:bookmarkEnd w:id="33"/>
      <w:r w:rsidDel="00000000" w:rsidR="00000000" w:rsidRPr="00000000">
        <w:rPr>
          <w:rFonts w:ascii="Calibri" w:cs="Calibri" w:eastAsia="Calibri" w:hAnsi="Calibri"/>
          <w:rtl w:val="0"/>
        </w:rPr>
        <w:t xml:space="preserve">Zamawiający może żądać od Wykonawcy bezpłatnej zmiany liczby rowerów oraz stojaków w ramach istniejących Stacji Postoju. Przeniesienie musi nastąpić w terminie 30 dni, a w przypadku sytuacji wymagającej pilnej reakcji jak np. awaria infrastruktury technicznej, w terminie 7 dni od daty zgłoszenia przez Zamawiającego.</w:t>
      </w:r>
    </w:p>
    <w:p w:rsidR="00000000" w:rsidDel="00000000" w:rsidP="00000000" w:rsidRDefault="00000000" w:rsidRPr="00000000" w14:paraId="0000013F">
      <w:pPr>
        <w:numPr>
          <w:ilvl w:val="0"/>
          <w:numId w:val="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jest uprawniony do żądania bez konieczności uiszczenia dodatkowych opłat  (z zastrzeżeniem zdania drugiego) zmiany lokalizacji Stacji Postoju. W przypadku zgłoszenia przez Zamawiającego żądania dotyczącego zmiany lokalizacji w roku kalendarzowym więcej niż 20 Stacji Postoju oraz w przypadku żądania zmiany lokalizacji więcej niż 40 Stacji Postoju w okresie obowiązywania Umowy, Wykonawca zobowiązany będzie do zmiany lokalizacji zgodnie z dyspozycją Zamawiającego, przy czym Zamawiający zobowiązany będzie do zapłaty na rzecz Wykonawcy zryczałtowanej opłaty w wysokości netto ……  zł,  …. %VAT tj.  …….. złotych, brutto……….. zł za każdą dokonaną zmianę lokalizacji Stacji Postoju. (Kwota zgodnie z treścią formularza cenowego stanowiącego załącznik do oferty). Przeniesienie musi nastąpić w terminie 30 dni, a w przypadku sytuacji wymagającej pilnej reakcji, jak np. awaria infrastruktury technicznej, w terminie 7 dni od daty zgłoszenia przez Zamawiającego.</w:t>
      </w:r>
    </w:p>
    <w:p w:rsidR="00000000" w:rsidDel="00000000" w:rsidP="00000000" w:rsidRDefault="00000000" w:rsidRPr="00000000" w14:paraId="00000140">
      <w:pPr>
        <w:numPr>
          <w:ilvl w:val="0"/>
          <w:numId w:val="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Zmiany lokalizacji Stacji Postoju i rozmieszczenia rowerów mogą zostać dokonane również na wniosek Wykonawcy, po uzyskaniu pisemnej zgody Zamawiającego, zmiany takie nie są wliczane do zmian o których mowa w ust. 4. </w:t>
      </w:r>
    </w:p>
    <w:p w:rsidR="00000000" w:rsidDel="00000000" w:rsidP="00000000" w:rsidRDefault="00000000" w:rsidRPr="00000000" w14:paraId="00000141">
      <w:pPr>
        <w:numPr>
          <w:ilvl w:val="0"/>
          <w:numId w:val="6"/>
        </w:numPr>
        <w:spacing w:after="60" w:line="276" w:lineRule="auto"/>
        <w:ind w:left="360" w:hanging="360"/>
        <w:jc w:val="both"/>
        <w:rPr>
          <w:rFonts w:ascii="Calibri" w:cs="Calibri" w:eastAsia="Calibri" w:hAnsi="Calibri"/>
        </w:rPr>
      </w:pPr>
      <w:bookmarkStart w:colFirst="0" w:colLast="0" w:name="_heading=h.4i7ojhp" w:id="34"/>
      <w:bookmarkEnd w:id="34"/>
      <w:r w:rsidDel="00000000" w:rsidR="00000000" w:rsidRPr="00000000">
        <w:rPr>
          <w:rFonts w:ascii="Calibri" w:cs="Calibri" w:eastAsia="Calibri" w:hAnsi="Calibri"/>
          <w:rtl w:val="0"/>
        </w:rPr>
        <w:t xml:space="preserve">Wykonawca ma obowiązek dokonywać każdego dnia relokacji i uzupełnienia rowerów w taki sposób, aby nie dopuścić do sytuacji, iż:</w:t>
      </w:r>
    </w:p>
    <w:p w:rsidR="00000000" w:rsidDel="00000000" w:rsidP="00000000" w:rsidRDefault="00000000" w:rsidRPr="00000000" w14:paraId="00000142">
      <w:pPr>
        <w:numPr>
          <w:ilvl w:val="1"/>
          <w:numId w:val="2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standardowych Rowerów dostępnych w SRM MEVO, potwierdzona raportem lub danymi z systemu informatycznego dla dowolnej godziny wybranej przez Zamawiającego, jest mniejsza niż 90 % bazowej liczby rowerów standardowych, tj. 900 szt. W przypadku skorzystania z prawa opcji o którym mowa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3 ust. 11, ww. liczba rowerów ulegnie proporcjonalnie zmianie;</w:t>
      </w:r>
    </w:p>
    <w:p w:rsidR="00000000" w:rsidDel="00000000" w:rsidP="00000000" w:rsidRDefault="00000000" w:rsidRPr="00000000" w14:paraId="00000143">
      <w:pPr>
        <w:numPr>
          <w:ilvl w:val="1"/>
          <w:numId w:val="2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dostępnych w SRM MEVO z napędem wspomaganym elektrycznie, potwierdzona raportem lub danymi z systemu informatycznego dla dowolnej godziny wybranej przez Zamawiającego, jest mniejsza niż 90 % minimalnej przewidzianej przez Zamawiającego bazowej liczby rowerów z napędem wspomaganym elektrycznie tj. 2789 szt. W przypadku skorzystania z prawa opcji o którym mowa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3 ust. 11, ww. liczba rowerów ulegnie proporcjonalnie zmianie;</w:t>
      </w:r>
    </w:p>
    <w:p w:rsidR="00000000" w:rsidDel="00000000" w:rsidP="00000000" w:rsidRDefault="00000000" w:rsidRPr="00000000" w14:paraId="00000144">
      <w:pPr>
        <w:numPr>
          <w:ilvl w:val="1"/>
          <w:numId w:val="25"/>
        </w:numPr>
        <w:spacing w:after="60" w:line="276" w:lineRule="auto"/>
        <w:ind w:left="720" w:hanging="360"/>
        <w:jc w:val="both"/>
        <w:rPr>
          <w:rFonts w:ascii="Calibri" w:cs="Calibri" w:eastAsia="Calibri" w:hAnsi="Calibri"/>
        </w:rPr>
      </w:pPr>
      <w:bookmarkStart w:colFirst="0" w:colLast="0" w:name="_heading=h.vde02vnvfzd4" w:id="35"/>
      <w:bookmarkEnd w:id="35"/>
      <w:r w:rsidDel="00000000" w:rsidR="00000000" w:rsidRPr="00000000">
        <w:rPr>
          <w:rFonts w:ascii="Calibri" w:cs="Calibri" w:eastAsia="Calibri" w:hAnsi="Calibri"/>
          <w:rtl w:val="0"/>
        </w:rPr>
        <w:t xml:space="preserve">liczba Rowerów dostępnych z napędem wspomaganym elektrycznie, potwierdzona raportem lub danymi z systemu informatycznego według stanu w przedziale czasowym między 2:00 - 5:00 danego dnia, z poziomem naładowania baterii min. 40 %, jest  mniejsza niż 100% minimalnej przewidzianej przez Zamawiającego bazowej liczby rowerów z napędem wspomaganym elektrycznie; </w:t>
      </w:r>
    </w:p>
    <w:p w:rsidR="00000000" w:rsidDel="00000000" w:rsidP="00000000" w:rsidRDefault="00000000" w:rsidRPr="00000000" w14:paraId="00000145">
      <w:pPr>
        <w:numPr>
          <w:ilvl w:val="1"/>
          <w:numId w:val="2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stacjach w danej Strefie Relokacji, potwierdzona raportem według stanu w przedziale czasowym między 02:00 a 05:00 danego dnia, jest mniejsza niż 50% bazowej liczby rowerów przypisanych do tej Strefy (przy czym w przypadku rowerów z napędem wspomaganym elektrycznie, w zakresie tego punktu uwzględnia się minimalną przewidzianą przez Zamawiającego bazową liczbę rowerów);</w:t>
      </w:r>
    </w:p>
    <w:p w:rsidR="00000000" w:rsidDel="00000000" w:rsidP="00000000" w:rsidRDefault="00000000" w:rsidRPr="00000000" w14:paraId="00000146">
      <w:pPr>
        <w:numPr>
          <w:ilvl w:val="1"/>
          <w:numId w:val="2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stacjach w danej  Strefie Relokacji, potwierdzona raportem według stanu w przedziale czasowym między 02:00 a 05:00 danego dnia, jest większa niż 150% bazowej liczby rowerów przypisanych do danej tej Strefy, (przy czym w przypadku rowerów z napędem wspomaganym elektrycznie, w zakresie tego punktu uwzględnia się minimalną przewidzianą przez Zamawiającego bazową liczbę rowerów).</w:t>
      </w:r>
    </w:p>
    <w:p w:rsidR="00000000" w:rsidDel="00000000" w:rsidP="00000000" w:rsidRDefault="00000000" w:rsidRPr="00000000" w14:paraId="00000147">
      <w:pPr>
        <w:numPr>
          <w:ilvl w:val="1"/>
          <w:numId w:val="2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pojedynczej stacji objętej działaniami relokacyjnymi, potwierdzona raportem według stanu w przedziale czasowym między 02:00 a 05:00 danego dnia, jest większa niż 400 % bazowej liczby rowerów przypisanych do tej stacji, (przy czym w przypadku rowerów z napędem wspomaganym elektrycznie, w zakresie tego punktu uwzględnia się minimalną przewidzianą przez Zamawiającego bazową liczbę rowerów).</w:t>
      </w:r>
    </w:p>
    <w:p w:rsidR="00000000" w:rsidDel="00000000" w:rsidP="00000000" w:rsidRDefault="00000000" w:rsidRPr="00000000" w14:paraId="00000148">
      <w:pPr>
        <w:numPr>
          <w:ilvl w:val="1"/>
          <w:numId w:val="25"/>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wg rodzaju w danej gminie, potwierdzona raportem według stanu w przedziale czasowym 02:00 a 05:00 danego dnia jest mniejsza niż 90% bazowej liczby rowerów (z uwzględnieniem ich rodzajów) przypisanych do tej gminy, (przy czym w przypadku rowerów z napędem wspomaganym elektrycznie, w zakresie tego punktu uwzględnia się minimalną przewidzianą przez Zamawiającego bazową liczbę rowerów).</w:t>
      </w:r>
    </w:p>
    <w:p w:rsidR="00000000" w:rsidDel="00000000" w:rsidP="00000000" w:rsidRDefault="00000000" w:rsidRPr="00000000" w14:paraId="00000149">
      <w:pPr>
        <w:tabs>
          <w:tab w:val="left" w:pos="5925"/>
        </w:tabs>
        <w:spacing w:after="60" w:line="276" w:lineRule="auto"/>
        <w:ind w:left="425" w:firstLine="0"/>
        <w:jc w:val="both"/>
        <w:rPr>
          <w:rFonts w:ascii="Calibri" w:cs="Calibri" w:eastAsia="Calibri" w:hAnsi="Calibri"/>
        </w:rPr>
      </w:pPr>
      <w:r w:rsidDel="00000000" w:rsidR="00000000" w:rsidRPr="00000000">
        <w:rPr>
          <w:rFonts w:ascii="Calibri" w:cs="Calibri" w:eastAsia="Calibri" w:hAnsi="Calibri"/>
          <w:rtl w:val="0"/>
        </w:rPr>
        <w:t xml:space="preserve">Wykonawca zobowiązany jest przekazać Zamawiającemu raport potwierdzający osiągnięcie powyższych wskaźników we wskazanym przedziale czasowym na wszystkich Strefach Relokacji z podziałem na  Stacje Postoju i rowery pozostawione poza Stacją Postoju, raz dziennie oraz na koniec miesiąca raport zbiorczy w formie elektronicznej. Ponadto Zamawiający będzie miał dostęp do wszystkich powyższych wskaźników w czasie rzeczywistym i będzie mógł je weryfikować w dowolnym momencie. </w:t>
      </w:r>
    </w:p>
    <w:p w:rsidR="00000000" w:rsidDel="00000000" w:rsidP="00000000" w:rsidRDefault="00000000" w:rsidRPr="00000000" w14:paraId="0000014A">
      <w:pPr>
        <w:tabs>
          <w:tab w:val="left" w:pos="5925"/>
        </w:tabs>
        <w:spacing w:after="60" w:line="276" w:lineRule="auto"/>
        <w:ind w:left="425" w:firstLine="0"/>
        <w:jc w:val="both"/>
        <w:rPr>
          <w:rFonts w:ascii="Calibri" w:cs="Calibri" w:eastAsia="Calibri" w:hAnsi="Calibri"/>
        </w:rPr>
      </w:pPr>
      <w:r w:rsidDel="00000000" w:rsidR="00000000" w:rsidRPr="00000000">
        <w:rPr>
          <w:rFonts w:ascii="Calibri" w:cs="Calibri" w:eastAsia="Calibri" w:hAnsi="Calibri"/>
          <w:rtl w:val="0"/>
        </w:rPr>
        <w:t xml:space="preserve">Rowery warunkowo dostępne muszą być udostępnione do wypożyczenia, ale nie są wliczane do poziomów dostępności ustalonych w ust. 6;</w:t>
      </w:r>
    </w:p>
    <w:p w:rsidR="00000000" w:rsidDel="00000000" w:rsidP="00000000" w:rsidRDefault="00000000" w:rsidRPr="00000000" w14:paraId="0000014B">
      <w:pPr>
        <w:numPr>
          <w:ilvl w:val="0"/>
          <w:numId w:val="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do wyłączenia poszczególnych Stacji Postoju lub Stref Relokacji z usługi relokacji. </w:t>
      </w:r>
    </w:p>
    <w:p w:rsidR="00000000" w:rsidDel="00000000" w:rsidP="00000000" w:rsidRDefault="00000000" w:rsidRPr="00000000" w14:paraId="0000014C">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9 – Dodatkowe rowery i Stacje Postoju</w:t>
      </w:r>
      <w:r w:rsidDel="00000000" w:rsidR="00000000" w:rsidRPr="00000000">
        <w:rPr>
          <w:rtl w:val="0"/>
        </w:rPr>
      </w:r>
    </w:p>
    <w:p w:rsidR="00000000" w:rsidDel="00000000" w:rsidP="00000000" w:rsidRDefault="00000000" w:rsidRPr="00000000" w14:paraId="0000014E">
      <w:pPr>
        <w:numPr>
          <w:ilvl w:val="0"/>
          <w:numId w:val="40"/>
        </w:numPr>
        <w:spacing w:after="60" w:line="276" w:lineRule="auto"/>
        <w:ind w:left="360" w:hanging="360"/>
        <w:jc w:val="both"/>
        <w:rPr>
          <w:rFonts w:ascii="Calibri" w:cs="Calibri" w:eastAsia="Calibri" w:hAnsi="Calibri"/>
        </w:rPr>
      </w:pPr>
      <w:bookmarkStart w:colFirst="0" w:colLast="0" w:name="_heading=h.2grqrue" w:id="36"/>
      <w:bookmarkEnd w:id="36"/>
      <w:r w:rsidDel="00000000" w:rsidR="00000000" w:rsidRPr="00000000">
        <w:rPr>
          <w:rFonts w:ascii="Calibri" w:cs="Calibri" w:eastAsia="Calibri" w:hAnsi="Calibri"/>
          <w:rtl w:val="0"/>
        </w:rPr>
        <w:t xml:space="preserve">Zamawiający dopuszcza możliwość przyłączania do SRM MEVO przez Wykonawcę dodatkowych rowerów i Stacji Postoju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 Każda dodatkowa stacja musi być wyposażona w dodatkowe rowery, zgodnie z proporcją 1 rower na 1 stojak, Totem informacyjny i działać na ogólnych zasadach SRM MEVO. </w:t>
      </w:r>
    </w:p>
    <w:p w:rsidR="00000000" w:rsidDel="00000000" w:rsidP="00000000" w:rsidRDefault="00000000" w:rsidRPr="00000000" w14:paraId="0000014F">
      <w:pPr>
        <w:numPr>
          <w:ilvl w:val="0"/>
          <w:numId w:val="4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Podjęcie działań określonych w ust. 1 może nastąpić wyłącznie po uprzednim uzyskaniu każdorazowo odrębnego pisemnego zezwolenia Zamawiającego.</w:t>
      </w:r>
    </w:p>
    <w:p w:rsidR="00000000" w:rsidDel="00000000" w:rsidP="00000000" w:rsidRDefault="00000000" w:rsidRPr="00000000" w14:paraId="00000150">
      <w:pPr>
        <w:numPr>
          <w:ilvl w:val="0"/>
          <w:numId w:val="4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Wszystkie elementy przyłączane do SRM MEVO zgodnie z postanowieniami ust. 1-2 muszą spełniać wymogi określone w Umowie i SIWZ oraz w warunkach, jakie ustalone zostaną w zezwoleniach wydawanych przez Zamawiającego zgodnie z ust. 2. Wobec rowerów i stacji Postoju przyłączonych do SRM MEVO będą miały odpowiednie zastosowanie postanowienia Umowy, w szczególności dotyczące obowiązków Wykonawcy oraz kar umownych.</w:t>
      </w:r>
    </w:p>
    <w:p w:rsidR="00000000" w:rsidDel="00000000" w:rsidP="00000000" w:rsidRDefault="00000000" w:rsidRPr="00000000" w14:paraId="00000151">
      <w:pPr>
        <w:spacing w:after="6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10 – Reklamy</w:t>
      </w:r>
      <w:r w:rsidDel="00000000" w:rsidR="00000000" w:rsidRPr="00000000">
        <w:rPr>
          <w:rtl w:val="0"/>
        </w:rPr>
      </w:r>
    </w:p>
    <w:p w:rsidR="00000000" w:rsidDel="00000000" w:rsidP="00000000" w:rsidRDefault="00000000" w:rsidRPr="00000000" w14:paraId="00000153">
      <w:pPr>
        <w:numPr>
          <w:ilvl w:val="0"/>
          <w:numId w:val="7"/>
        </w:numPr>
        <w:spacing w:after="60" w:line="276" w:lineRule="auto"/>
        <w:ind w:left="283" w:hanging="360"/>
        <w:jc w:val="both"/>
        <w:rPr>
          <w:rFonts w:ascii="Calibri" w:cs="Calibri" w:eastAsia="Calibri" w:hAnsi="Calibri"/>
        </w:rPr>
      </w:pPr>
      <w:r w:rsidDel="00000000" w:rsidR="00000000" w:rsidRPr="00000000">
        <w:rPr>
          <w:rFonts w:ascii="Calibri" w:cs="Calibri" w:eastAsia="Calibri" w:hAnsi="Calibri"/>
          <w:rtl w:val="0"/>
        </w:rPr>
        <w:t xml:space="preserve">Powierzchnia na rowerze przeznaczona do umieszczania reklamy musi wynosić nie mniej niż 0,5 metra kwadratowego. Reklama w żadnym stopniu nie może utrudniać korzystania z roweru i może być umieszczona w następujących miejscach: na przednim koszyku roweru, na ochraniaczu tylnego koła, na ramie roweru i innych elementach uzgodnionych z Zamawiającym.</w:t>
      </w:r>
    </w:p>
    <w:p w:rsidR="00000000" w:rsidDel="00000000" w:rsidP="00000000" w:rsidRDefault="00000000" w:rsidRPr="00000000" w14:paraId="00000154">
      <w:pPr>
        <w:numPr>
          <w:ilvl w:val="0"/>
          <w:numId w:val="7"/>
        </w:numPr>
        <w:spacing w:after="6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Powierzchnia reklamowa na rowerze należy wyłącznie do Zamawiającego, zabrania się umieszczania jakichkolwiek treści na miejscach przeznaczonych na reklamę oraz innych elementów dodatkowych na elementach SRM MEVO, bez wcześniejszej pisemnej zgody Zamawiającego. </w:t>
      </w:r>
    </w:p>
    <w:p w:rsidR="00000000" w:rsidDel="00000000" w:rsidP="00000000" w:rsidRDefault="00000000" w:rsidRPr="00000000" w14:paraId="00000155">
      <w:pPr>
        <w:numPr>
          <w:ilvl w:val="0"/>
          <w:numId w:val="7"/>
        </w:numPr>
        <w:spacing w:after="6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W przypadku naruszenia postanowień zawartych w ust. 2, Zamawiający wezwie Wykonawcę pisemnie do usunięcia reklam lub innych treści w terminie 24 godzin od doręczenia powiadomienia, a w przypadku nieusunięcia reklam w tym terminie, Zamawiający ma prawo do ich usunięcia na koszt i ryzyko Wykonawcy, na co Wykonawca niniejszym wyraża zgodę.</w:t>
      </w:r>
    </w:p>
    <w:p w:rsidR="00000000" w:rsidDel="00000000" w:rsidP="00000000" w:rsidRDefault="00000000" w:rsidRPr="00000000" w14:paraId="00000156">
      <w:pPr>
        <w:numPr>
          <w:ilvl w:val="0"/>
          <w:numId w:val="7"/>
        </w:numPr>
        <w:spacing w:after="60" w:line="276" w:lineRule="auto"/>
        <w:ind w:left="284" w:hanging="284"/>
        <w:jc w:val="both"/>
        <w:rPr>
          <w:rFonts w:ascii="Calibri" w:cs="Calibri" w:eastAsia="Calibri" w:hAnsi="Calibri"/>
          <w:u w:val="none"/>
        </w:rPr>
      </w:pPr>
      <w:r w:rsidDel="00000000" w:rsidR="00000000" w:rsidRPr="00000000">
        <w:rPr>
          <w:rFonts w:ascii="Calibri" w:cs="Calibri" w:eastAsia="Calibri" w:hAnsi="Calibri"/>
          <w:rtl w:val="0"/>
        </w:rPr>
        <w:t xml:space="preserve">Montażu i demontażu reklam każdorazowo dokona zewnętrza firma reklamowa. Wykonawca musi umożliwić montaż/demontaż reklam na rowerach, na każde żądanie Zamawiającego. Wykonawca, na każde żądanie Zamawiającego, umieści/usunie w terminie 48 godzin dostarczone przez Zamawiającego reklamy/informacje oraz inne komunikaty w Aplikacji i na Stronie Internetowej na wskazany przez Zamawiającego okres.</w:t>
      </w:r>
    </w:p>
    <w:p w:rsidR="00000000" w:rsidDel="00000000" w:rsidP="00000000" w:rsidRDefault="00000000" w:rsidRPr="00000000" w14:paraId="00000157">
      <w:pPr>
        <w:numPr>
          <w:ilvl w:val="0"/>
          <w:numId w:val="7"/>
        </w:numPr>
        <w:spacing w:after="6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Wszystkie przychody pozyskane z reklam będą należały do Zamawiającego.</w:t>
      </w:r>
    </w:p>
    <w:p w:rsidR="00000000" w:rsidDel="00000000" w:rsidP="00000000" w:rsidRDefault="00000000" w:rsidRPr="00000000" w14:paraId="00000158">
      <w:pPr>
        <w:widowControl w:val="0"/>
        <w:spacing w:after="6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9">
      <w:pPr>
        <w:keepNext w:val="1"/>
        <w:spacing w:after="60" w:line="276" w:lineRule="auto"/>
        <w:jc w:val="center"/>
        <w:rPr>
          <w:rFonts w:ascii="Calibri" w:cs="Calibri" w:eastAsia="Calibri" w:hAnsi="Calibri"/>
          <w:b w:val="1"/>
        </w:rPr>
      </w:pPr>
      <w:bookmarkStart w:colFirst="0" w:colLast="0" w:name="_heading=h.2xcytpi" w:id="37"/>
      <w:bookmarkEnd w:id="37"/>
      <w:r w:rsidDel="00000000" w:rsidR="00000000" w:rsidRPr="00000000">
        <w:rPr>
          <w:rFonts w:ascii="Calibri" w:cs="Calibri" w:eastAsia="Calibri" w:hAnsi="Calibri"/>
          <w:b w:val="1"/>
          <w:rtl w:val="0"/>
        </w:rPr>
        <w:t xml:space="preserve">§ 11 – Rozliczenia i raportowanie</w:t>
      </w:r>
    </w:p>
    <w:p w:rsidR="00000000" w:rsidDel="00000000" w:rsidP="00000000" w:rsidRDefault="00000000" w:rsidRPr="00000000" w14:paraId="0000015A">
      <w:pPr>
        <w:widowControl w:val="0"/>
        <w:numPr>
          <w:ilvl w:val="0"/>
          <w:numId w:val="46"/>
        </w:numPr>
        <w:spacing w:after="60" w:line="276" w:lineRule="auto"/>
        <w:ind w:left="283" w:hanging="360"/>
        <w:jc w:val="both"/>
        <w:rPr>
          <w:rFonts w:ascii="Calibri" w:cs="Calibri" w:eastAsia="Calibri" w:hAnsi="Calibri"/>
        </w:rPr>
      </w:pPr>
      <w:bookmarkStart w:colFirst="0" w:colLast="0" w:name="_heading=h.i6h6kcvqrtum" w:id="38"/>
      <w:bookmarkEnd w:id="38"/>
      <w:r w:rsidDel="00000000" w:rsidR="00000000" w:rsidRPr="00000000">
        <w:rPr>
          <w:rFonts w:ascii="Calibri" w:cs="Calibri" w:eastAsia="Calibri" w:hAnsi="Calibri"/>
          <w:rtl w:val="0"/>
        </w:rPr>
        <w:t xml:space="preserve">Przychód Zamawiającego stanowi całość kwot pobranych od Klientów związanych z korzystaniem z rowerów tj. abonamentów i opłat minutowych za korzystanie z rowerów. </w:t>
      </w:r>
    </w:p>
    <w:p w:rsidR="00000000" w:rsidDel="00000000" w:rsidP="00000000" w:rsidRDefault="00000000" w:rsidRPr="00000000" w14:paraId="0000015B">
      <w:pPr>
        <w:spacing w:after="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 przypadku, jeśli w danym roku przychody z abonamentów i opłat minutowych przekroczą kwotę 5.000.000 (pięć milionów) zł netto i jednocześnie liczba przejechanych w danym roku kilometrów przekroczy 30.000.000 (trzydzieści milionów) kilometrów, ale nie będzie większa niż 40.000.000 (czterdzieści milionów) kilometrów, Wykonawca otrzyma dodatkowe wynagrodzenie (tzw. bonus) w wysokości 0,50 zł (pięćdziesiąt groszy) netto za każdy przejechany dodatkowo kilometr w danym roku. Powyżej </w:t>
      </w:r>
      <w:r w:rsidDel="00000000" w:rsidR="00000000" w:rsidRPr="00000000">
        <w:rPr>
          <w:rFonts w:ascii="Calibri" w:cs="Calibri" w:eastAsia="Calibri" w:hAnsi="Calibri"/>
          <w:color w:val="222222"/>
          <w:rtl w:val="0"/>
        </w:rPr>
        <w:t xml:space="preserve">40.000.000 (czterdzieści milionów) kilometrów, Wykonawca otrzyma dodatkowe wynagrodzenie (tzw. bonus) w wysokości 0,25 zł (dwadzieścia pięć groszy) netto za każdy przejechany dodatkowo kilometr w danym roku.</w:t>
      </w:r>
      <w:r w:rsidDel="00000000" w:rsidR="00000000" w:rsidRPr="00000000">
        <w:rPr>
          <w:rtl w:val="0"/>
        </w:rPr>
      </w:r>
    </w:p>
    <w:p w:rsidR="00000000" w:rsidDel="00000000" w:rsidP="00000000" w:rsidRDefault="00000000" w:rsidRPr="00000000" w14:paraId="0000015C">
      <w:pPr>
        <w:widowControl w:val="0"/>
        <w:spacing w:after="60" w:line="276" w:lineRule="auto"/>
        <w:ind w:left="283" w:firstLine="0"/>
        <w:jc w:val="both"/>
        <w:rPr>
          <w:rFonts w:ascii="Calibri" w:cs="Calibri" w:eastAsia="Calibri" w:hAnsi="Calibri"/>
        </w:rPr>
      </w:pPr>
      <w:bookmarkStart w:colFirst="0" w:colLast="0" w:name="_heading=h.epvc0iuiccr1" w:id="39"/>
      <w:bookmarkEnd w:id="39"/>
      <w:r w:rsidDel="00000000" w:rsidR="00000000" w:rsidRPr="00000000">
        <w:rPr>
          <w:rFonts w:ascii="Calibri" w:cs="Calibri" w:eastAsia="Calibri" w:hAnsi="Calibri"/>
          <w:rtl w:val="0"/>
        </w:rPr>
        <w:t xml:space="preserve">Powyższe ewentualne wynagrodzenie Wykonawcy (tzw. bonus) obliczane będzie przez Zamawiającego i wypłacane będzie po zakończeniu każdego kolejnego roku funkcjonowania SRM MEVO i uzyskaniu od Wykonawcy wszelkich niezbędnych danych do obliczenia tego wynagrodzenia (raportów za Okresy rozliczeniowe w danym roku kalendarzowym). Podstawą do obliczenia przedmiotowego wynagrodzenia są stawki wskazane w poniższym taryfikatorze, zaś podstawą do wypłaty Wykonawcy tzw. bonusu będzie prawidłowo wystawiona przezeń faktura VAT. Strony uznają, iż w przypadku gdyby Zamawiający dokonał zmiany stawek taryfikatora podstawą do obliczenia wynagrodzenia Wykonawcy będą nadal stawki wskazane w poniższym taryfikatorze, tak jakby stawki te nie uległy zmianom. </w:t>
      </w:r>
    </w:p>
    <w:p w:rsidR="00000000" w:rsidDel="00000000" w:rsidP="00000000" w:rsidRDefault="00000000" w:rsidRPr="00000000" w14:paraId="0000015D">
      <w:pPr>
        <w:widowControl w:val="0"/>
        <w:numPr>
          <w:ilvl w:val="0"/>
          <w:numId w:val="46"/>
        </w:numPr>
        <w:spacing w:after="60" w:line="276" w:lineRule="auto"/>
        <w:ind w:left="283" w:hanging="360"/>
        <w:jc w:val="both"/>
        <w:rPr>
          <w:rFonts w:ascii="Calibri" w:cs="Calibri" w:eastAsia="Calibri" w:hAnsi="Calibri"/>
        </w:rPr>
      </w:pPr>
      <w:bookmarkStart w:colFirst="0" w:colLast="0" w:name="_heading=h.cqrc06s301bo" w:id="40"/>
      <w:bookmarkEnd w:id="40"/>
      <w:r w:rsidDel="00000000" w:rsidR="00000000" w:rsidRPr="00000000">
        <w:rPr>
          <w:rFonts w:ascii="Calibri" w:cs="Calibri" w:eastAsia="Calibri" w:hAnsi="Calibri"/>
          <w:rtl w:val="0"/>
        </w:rPr>
        <w:t xml:space="preserve">Strony ustanawiają następujący </w:t>
      </w:r>
      <w:r w:rsidDel="00000000" w:rsidR="00000000" w:rsidRPr="00000000">
        <w:rPr>
          <w:rFonts w:ascii="Calibri" w:cs="Calibri" w:eastAsia="Calibri" w:hAnsi="Calibri"/>
          <w:b w:val="1"/>
          <w:rtl w:val="0"/>
        </w:rPr>
        <w:t xml:space="preserve">taryfikator:</w:t>
      </w:r>
      <w:r w:rsidDel="00000000" w:rsidR="00000000" w:rsidRPr="00000000">
        <w:rPr>
          <w:rtl w:val="0"/>
        </w:rPr>
      </w:r>
    </w:p>
    <w:p w:rsidR="00000000" w:rsidDel="00000000" w:rsidP="00000000" w:rsidRDefault="00000000" w:rsidRPr="00000000" w14:paraId="0000015E">
      <w:pPr>
        <w:widowControl w:val="0"/>
        <w:spacing w:after="6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widowControl w:val="0"/>
        <w:spacing w:after="60" w:line="276" w:lineRule="auto"/>
        <w:jc w:val="both"/>
        <w:rPr>
          <w:rFonts w:ascii="Calibri" w:cs="Calibri" w:eastAsia="Calibri" w:hAnsi="Calibri"/>
        </w:rPr>
      </w:pPr>
      <w:r w:rsidDel="00000000" w:rsidR="00000000" w:rsidRPr="00000000">
        <w:rPr>
          <w:rtl w:val="0"/>
        </w:rPr>
      </w:r>
    </w:p>
    <w:tbl>
      <w:tblPr>
        <w:tblStyle w:val="Table3"/>
        <w:tblW w:w="937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1635"/>
        <w:gridCol w:w="1575"/>
        <w:gridCol w:w="1650"/>
        <w:gridCol w:w="1095"/>
        <w:gridCol w:w="1470"/>
        <w:tblGridChange w:id="0">
          <w:tblGrid>
            <w:gridCol w:w="1950"/>
            <w:gridCol w:w="1635"/>
            <w:gridCol w:w="1575"/>
            <w:gridCol w:w="1650"/>
            <w:gridCol w:w="1095"/>
            <w:gridCol w:w="1470"/>
          </w:tblGrid>
        </w:tblGridChange>
      </w:tblGrid>
      <w:tr>
        <w:trPr>
          <w:trHeight w:val="988" w:hRule="atLeast"/>
        </w:trPr>
        <w:tc>
          <w:tcPr>
            <w:shd w:fill="dbe5f1" w:val="clear"/>
            <w:vAlign w:val="center"/>
          </w:tcPr>
          <w:p w:rsidR="00000000" w:rsidDel="00000000" w:rsidP="00000000" w:rsidRDefault="00000000" w:rsidRPr="00000000" w14:paraId="00000160">
            <w:pPr>
              <w:widowControl w:val="0"/>
              <w:spacing w:after="60"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Rodzaj taryfy</w:t>
            </w:r>
          </w:p>
        </w:tc>
        <w:tc>
          <w:tcPr>
            <w:shd w:fill="dbe5f1" w:val="clear"/>
            <w:vAlign w:val="center"/>
          </w:tcPr>
          <w:p w:rsidR="00000000" w:rsidDel="00000000" w:rsidP="00000000" w:rsidRDefault="00000000" w:rsidRPr="00000000" w14:paraId="00000161">
            <w:pPr>
              <w:widowControl w:val="0"/>
              <w:spacing w:after="60" w:line="276"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rodzaj roweru</w:t>
            </w:r>
          </w:p>
        </w:tc>
        <w:tc>
          <w:tcPr>
            <w:shd w:fill="dbe5f1" w:val="clear"/>
            <w:vAlign w:val="center"/>
          </w:tcPr>
          <w:p w:rsidR="00000000" w:rsidDel="00000000" w:rsidP="00000000" w:rsidRDefault="00000000" w:rsidRPr="00000000" w14:paraId="00000162">
            <w:pPr>
              <w:widowControl w:val="0"/>
              <w:spacing w:after="60" w:line="276"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abonament miesięczny</w:t>
            </w:r>
          </w:p>
        </w:tc>
        <w:tc>
          <w:tcPr>
            <w:shd w:fill="dbe5f1" w:val="clear"/>
            <w:vAlign w:val="center"/>
          </w:tcPr>
          <w:p w:rsidR="00000000" w:rsidDel="00000000" w:rsidP="00000000" w:rsidRDefault="00000000" w:rsidRPr="00000000" w14:paraId="00000163">
            <w:pPr>
              <w:widowControl w:val="0"/>
              <w:spacing w:after="60" w:line="276"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abonament roczny</w:t>
            </w:r>
          </w:p>
        </w:tc>
        <w:tc>
          <w:tcPr>
            <w:shd w:fill="dbe5f1" w:val="clear"/>
            <w:vAlign w:val="center"/>
          </w:tcPr>
          <w:p w:rsidR="00000000" w:rsidDel="00000000" w:rsidP="00000000" w:rsidRDefault="00000000" w:rsidRPr="00000000" w14:paraId="00000164">
            <w:pPr>
              <w:widowControl w:val="0"/>
              <w:spacing w:after="60" w:line="276"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Pay as you go</w:t>
              <w:br w:type="textWrapping"/>
              <w:t xml:space="preserve">  (opłata minutowa)</w:t>
            </w:r>
          </w:p>
        </w:tc>
        <w:tc>
          <w:tcPr>
            <w:shd w:fill="dbe5f1" w:val="clear"/>
            <w:vAlign w:val="center"/>
          </w:tcPr>
          <w:p w:rsidR="00000000" w:rsidDel="00000000" w:rsidP="00000000" w:rsidRDefault="00000000" w:rsidRPr="00000000" w14:paraId="00000165">
            <w:pPr>
              <w:widowControl w:val="0"/>
              <w:spacing w:after="60" w:line="276"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Taryfa 48 h</w:t>
            </w:r>
          </w:p>
        </w:tc>
      </w:tr>
      <w:tr>
        <w:trPr>
          <w:trHeight w:val="755" w:hRule="atLeast"/>
        </w:trPr>
        <w:tc>
          <w:tcPr>
            <w:vMerge w:val="restart"/>
            <w:shd w:fill="ffffff" w:val="clear"/>
            <w:vAlign w:val="center"/>
          </w:tcPr>
          <w:p w:rsidR="00000000" w:rsidDel="00000000" w:rsidP="00000000" w:rsidRDefault="00000000" w:rsidRPr="00000000" w14:paraId="00000166">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Cena brutto</w:t>
            </w:r>
          </w:p>
        </w:tc>
        <w:tc>
          <w:tcPr>
            <w:shd w:fill="auto" w:val="clear"/>
            <w:vAlign w:val="center"/>
          </w:tcPr>
          <w:p w:rsidR="00000000" w:rsidDel="00000000" w:rsidP="00000000" w:rsidRDefault="00000000" w:rsidRPr="00000000" w14:paraId="00000167">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standardowy</w:t>
            </w:r>
          </w:p>
        </w:tc>
        <w:tc>
          <w:tcPr>
            <w:vMerge w:val="restart"/>
            <w:shd w:fill="auto" w:val="clear"/>
            <w:vAlign w:val="center"/>
          </w:tcPr>
          <w:p w:rsidR="00000000" w:rsidDel="00000000" w:rsidP="00000000" w:rsidRDefault="00000000" w:rsidRPr="00000000" w14:paraId="00000168">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29,99 zł</w:t>
            </w:r>
          </w:p>
        </w:tc>
        <w:tc>
          <w:tcPr>
            <w:vMerge w:val="restart"/>
            <w:shd w:fill="auto" w:val="clear"/>
            <w:vAlign w:val="center"/>
          </w:tcPr>
          <w:p w:rsidR="00000000" w:rsidDel="00000000" w:rsidP="00000000" w:rsidRDefault="00000000" w:rsidRPr="00000000" w14:paraId="00000169">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259 zł</w:t>
            </w:r>
          </w:p>
        </w:tc>
        <w:tc>
          <w:tcPr>
            <w:shd w:fill="auto" w:val="clear"/>
            <w:vAlign w:val="center"/>
          </w:tcPr>
          <w:p w:rsidR="00000000" w:rsidDel="00000000" w:rsidP="00000000" w:rsidRDefault="00000000" w:rsidRPr="00000000" w14:paraId="0000016A">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0,15 zł/1 minutę</w:t>
              <w:br w:type="textWrapping"/>
            </w:r>
          </w:p>
        </w:tc>
        <w:tc>
          <w:tcPr>
            <w:vMerge w:val="restart"/>
            <w:shd w:fill="auto" w:val="clear"/>
            <w:vAlign w:val="center"/>
          </w:tcPr>
          <w:p w:rsidR="00000000" w:rsidDel="00000000" w:rsidP="00000000" w:rsidRDefault="00000000" w:rsidRPr="00000000" w14:paraId="0000016B">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59 zł</w:t>
            </w:r>
          </w:p>
        </w:tc>
      </w:tr>
      <w:tr>
        <w:trPr>
          <w:trHeight w:val="503" w:hRule="atLeast"/>
        </w:trPr>
        <w:tc>
          <w:tcPr>
            <w:vMerge w:val="continue"/>
            <w:shd w:fill="ffffff" w:val="cle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16D">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w:t>
            </w:r>
          </w:p>
        </w:tc>
        <w:tc>
          <w:tcPr>
            <w:vMerge w:val="continue"/>
            <w:shd w:fill="auto" w:val="cle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170">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0,30 zł/1 minutę</w:t>
            </w:r>
          </w:p>
        </w:tc>
        <w:tc>
          <w:tcPr>
            <w:vMerge w:val="continue"/>
            <w:shd w:fill="auto" w:val="cle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55" w:hRule="atLeast"/>
        </w:trPr>
        <w:tc>
          <w:tcPr>
            <w:gridSpan w:val="2"/>
            <w:shd w:fill="ffffff" w:val="clear"/>
            <w:vAlign w:val="center"/>
          </w:tcPr>
          <w:p w:rsidR="00000000" w:rsidDel="00000000" w:rsidP="00000000" w:rsidRDefault="00000000" w:rsidRPr="00000000" w14:paraId="00000172">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Czas obowiązywania taryfy</w:t>
            </w:r>
          </w:p>
        </w:tc>
        <w:tc>
          <w:tcPr>
            <w:shd w:fill="auto" w:val="clear"/>
            <w:vAlign w:val="center"/>
          </w:tcPr>
          <w:p w:rsidR="00000000" w:rsidDel="00000000" w:rsidP="00000000" w:rsidRDefault="00000000" w:rsidRPr="00000000" w14:paraId="00000174">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30 dni</w:t>
            </w:r>
          </w:p>
        </w:tc>
        <w:tc>
          <w:tcPr>
            <w:shd w:fill="auto" w:val="clear"/>
            <w:vAlign w:val="center"/>
          </w:tcPr>
          <w:p w:rsidR="00000000" w:rsidDel="00000000" w:rsidP="00000000" w:rsidRDefault="00000000" w:rsidRPr="00000000" w14:paraId="00000175">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365 dni</w:t>
            </w:r>
          </w:p>
        </w:tc>
        <w:tc>
          <w:tcPr>
            <w:shd w:fill="auto" w:val="clear"/>
            <w:vAlign w:val="center"/>
          </w:tcPr>
          <w:p w:rsidR="00000000" w:rsidDel="00000000" w:rsidP="00000000" w:rsidRDefault="00000000" w:rsidRPr="00000000" w14:paraId="00000176">
            <w:pPr>
              <w:widowControl w:val="0"/>
              <w:spacing w:after="6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Bez</w:t>
            </w:r>
          </w:p>
          <w:p w:rsidR="00000000" w:rsidDel="00000000" w:rsidP="00000000" w:rsidRDefault="00000000" w:rsidRPr="00000000" w14:paraId="00000177">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sz w:val="18"/>
                <w:szCs w:val="18"/>
                <w:rtl w:val="0"/>
              </w:rPr>
              <w:t xml:space="preserve">ograniczeń</w:t>
            </w:r>
            <w:r w:rsidDel="00000000" w:rsidR="00000000" w:rsidRPr="00000000">
              <w:rPr>
                <w:rtl w:val="0"/>
              </w:rPr>
            </w:r>
          </w:p>
        </w:tc>
        <w:tc>
          <w:tcPr>
            <w:shd w:fill="auto" w:val="clear"/>
            <w:vAlign w:val="center"/>
          </w:tcPr>
          <w:p w:rsidR="00000000" w:rsidDel="00000000" w:rsidP="00000000" w:rsidRDefault="00000000" w:rsidRPr="00000000" w14:paraId="00000178">
            <w:pPr>
              <w:widowControl w:val="0"/>
              <w:spacing w:after="60" w:line="276"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48 godzin od momentu zakupu</w:t>
            </w:r>
          </w:p>
        </w:tc>
      </w:tr>
      <w:tr>
        <w:trPr>
          <w:trHeight w:val="688" w:hRule="atLeast"/>
        </w:trPr>
        <w:tc>
          <w:tcPr>
            <w:gridSpan w:val="2"/>
            <w:shd w:fill="ffffff" w:val="clear"/>
            <w:vAlign w:val="center"/>
          </w:tcPr>
          <w:p w:rsidR="00000000" w:rsidDel="00000000" w:rsidP="00000000" w:rsidRDefault="00000000" w:rsidRPr="00000000" w14:paraId="00000179">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Czas do wykorzystania w abonamencie</w:t>
            </w:r>
          </w:p>
          <w:p w:rsidR="00000000" w:rsidDel="00000000" w:rsidP="00000000" w:rsidRDefault="00000000" w:rsidRPr="00000000" w14:paraId="0000017A">
            <w:pPr>
              <w:widowControl w:val="0"/>
              <w:spacing w:after="60"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17C">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standardowy 120 minut/dzień</w:t>
            </w:r>
          </w:p>
          <w:p w:rsidR="00000000" w:rsidDel="00000000" w:rsidP="00000000" w:rsidRDefault="00000000" w:rsidRPr="00000000" w14:paraId="0000017D">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 60 minut/dzień </w:t>
            </w:r>
          </w:p>
        </w:tc>
        <w:tc>
          <w:tcPr>
            <w:shd w:fill="auto" w:val="clear"/>
            <w:vAlign w:val="center"/>
          </w:tcPr>
          <w:p w:rsidR="00000000" w:rsidDel="00000000" w:rsidP="00000000" w:rsidRDefault="00000000" w:rsidRPr="00000000" w14:paraId="00000180">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standardowy 120 minut/dzień</w:t>
            </w:r>
          </w:p>
          <w:p w:rsidR="00000000" w:rsidDel="00000000" w:rsidP="00000000" w:rsidRDefault="00000000" w:rsidRPr="00000000" w14:paraId="00000181">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 60 minut/dzień  </w:t>
            </w:r>
          </w:p>
        </w:tc>
        <w:tc>
          <w:tcPr>
            <w:shd w:fill="auto" w:val="clear"/>
            <w:vAlign w:val="center"/>
          </w:tcPr>
          <w:p w:rsidR="00000000" w:rsidDel="00000000" w:rsidP="00000000" w:rsidRDefault="00000000" w:rsidRPr="00000000" w14:paraId="00000184">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brak</w:t>
            </w:r>
          </w:p>
        </w:tc>
        <w:tc>
          <w:tcPr>
            <w:shd w:fill="auto" w:val="clear"/>
            <w:vAlign w:val="center"/>
          </w:tcPr>
          <w:p w:rsidR="00000000" w:rsidDel="00000000" w:rsidP="00000000" w:rsidRDefault="00000000" w:rsidRPr="00000000" w14:paraId="00000185">
            <w:pPr>
              <w:widowControl w:val="0"/>
              <w:spacing w:after="6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Rower standardowy </w:t>
            </w:r>
          </w:p>
          <w:p w:rsidR="00000000" w:rsidDel="00000000" w:rsidP="00000000" w:rsidRDefault="00000000" w:rsidRPr="00000000" w14:paraId="00000186">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480 min/dzień</w:t>
            </w:r>
          </w:p>
          <w:p w:rsidR="00000000" w:rsidDel="00000000" w:rsidP="00000000" w:rsidRDefault="00000000" w:rsidRPr="00000000" w14:paraId="00000187">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0"/>
              <w:spacing w:after="60" w:line="276" w:lineRule="auto"/>
              <w:rPr>
                <w:rFonts w:ascii="Calibri" w:cs="Calibri" w:eastAsia="Calibri" w:hAnsi="Calibri"/>
              </w:rPr>
            </w:pPr>
            <w:r w:rsidDel="00000000" w:rsidR="00000000" w:rsidRPr="00000000">
              <w:rPr>
                <w:rFonts w:ascii="Calibri" w:cs="Calibri" w:eastAsia="Calibri" w:hAnsi="Calibri"/>
                <w:sz w:val="18"/>
                <w:szCs w:val="18"/>
                <w:rtl w:val="0"/>
              </w:rPr>
              <w:t xml:space="preserve">Rower ze wspomaganiem elektrycznym</w:t>
            </w: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widowControl w:val="0"/>
              <w:spacing w:after="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240 min/dzień </w:t>
            </w:r>
          </w:p>
          <w:p w:rsidR="00000000" w:rsidDel="00000000" w:rsidP="00000000" w:rsidRDefault="00000000" w:rsidRPr="00000000" w14:paraId="0000018B">
            <w:pPr>
              <w:widowControl w:val="0"/>
              <w:spacing w:after="60" w:line="276" w:lineRule="auto"/>
              <w:rPr>
                <w:rFonts w:ascii="Calibri" w:cs="Calibri" w:eastAsia="Calibri" w:hAnsi="Calibri"/>
              </w:rPr>
            </w:pPr>
            <w:r w:rsidDel="00000000" w:rsidR="00000000" w:rsidRPr="00000000">
              <w:rPr>
                <w:rtl w:val="0"/>
              </w:rPr>
            </w:r>
          </w:p>
        </w:tc>
      </w:tr>
      <w:tr>
        <w:trPr>
          <w:trHeight w:val="503" w:hRule="atLeast"/>
        </w:trPr>
        <w:tc>
          <w:tcPr>
            <w:vMerge w:val="restart"/>
            <w:shd w:fill="ffffff" w:val="clear"/>
            <w:vAlign w:val="center"/>
          </w:tcPr>
          <w:p w:rsidR="00000000" w:rsidDel="00000000" w:rsidP="00000000" w:rsidRDefault="00000000" w:rsidRPr="00000000" w14:paraId="0000018C">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Stawka godzinowa </w:t>
              <w:br w:type="textWrapping"/>
            </w:r>
            <w:r w:rsidDel="00000000" w:rsidR="00000000" w:rsidRPr="00000000">
              <w:rPr>
                <w:rFonts w:ascii="Calibri" w:cs="Calibri" w:eastAsia="Calibri" w:hAnsi="Calibri"/>
                <w:sz w:val="18"/>
                <w:szCs w:val="18"/>
                <w:rtl w:val="0"/>
              </w:rPr>
              <w:t xml:space="preserve">(po wyczerpaniu czasu abonamentowego)</w:t>
            </w:r>
            <w:r w:rsidDel="00000000" w:rsidR="00000000" w:rsidRPr="00000000">
              <w:rPr>
                <w:rtl w:val="0"/>
              </w:rPr>
            </w:r>
          </w:p>
        </w:tc>
        <w:tc>
          <w:tcPr>
            <w:shd w:fill="auto" w:val="clear"/>
            <w:vAlign w:val="center"/>
          </w:tcPr>
          <w:p w:rsidR="00000000" w:rsidDel="00000000" w:rsidP="00000000" w:rsidRDefault="00000000" w:rsidRPr="00000000" w14:paraId="0000018D">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standardowy</w:t>
            </w:r>
          </w:p>
        </w:tc>
        <w:tc>
          <w:tcPr>
            <w:shd w:fill="auto" w:val="clear"/>
            <w:vAlign w:val="center"/>
          </w:tcPr>
          <w:p w:rsidR="00000000" w:rsidDel="00000000" w:rsidP="00000000" w:rsidRDefault="00000000" w:rsidRPr="00000000" w14:paraId="0000018E">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0,10 zł/1 minutę</w:t>
            </w:r>
          </w:p>
        </w:tc>
        <w:tc>
          <w:tcPr>
            <w:shd w:fill="auto" w:val="clear"/>
            <w:vAlign w:val="center"/>
          </w:tcPr>
          <w:p w:rsidR="00000000" w:rsidDel="00000000" w:rsidP="00000000" w:rsidRDefault="00000000" w:rsidRPr="00000000" w14:paraId="0000018F">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0,10 zł/1 minutę</w:t>
            </w:r>
          </w:p>
        </w:tc>
        <w:tc>
          <w:tcPr>
            <w:shd w:fill="auto" w:val="clear"/>
            <w:vAlign w:val="center"/>
          </w:tcPr>
          <w:p w:rsidR="00000000" w:rsidDel="00000000" w:rsidP="00000000" w:rsidRDefault="00000000" w:rsidRPr="00000000" w14:paraId="00000190">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n/d</w:t>
            </w:r>
          </w:p>
        </w:tc>
        <w:tc>
          <w:tcPr>
            <w:shd w:fill="auto" w:val="clear"/>
            <w:vAlign w:val="center"/>
          </w:tcPr>
          <w:p w:rsidR="00000000" w:rsidDel="00000000" w:rsidP="00000000" w:rsidRDefault="00000000" w:rsidRPr="00000000" w14:paraId="00000191">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0,20 zł/</w:t>
            </w:r>
          </w:p>
          <w:p w:rsidR="00000000" w:rsidDel="00000000" w:rsidP="00000000" w:rsidRDefault="00000000" w:rsidRPr="00000000" w14:paraId="00000192">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1 minutę</w:t>
            </w:r>
          </w:p>
        </w:tc>
      </w:tr>
      <w:tr>
        <w:trPr>
          <w:trHeight w:val="503" w:hRule="atLeast"/>
        </w:trPr>
        <w:tc>
          <w:tcPr>
            <w:vMerge w:val="continue"/>
            <w:shd w:fill="ffffff" w:val="clear"/>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194">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w:t>
            </w:r>
          </w:p>
        </w:tc>
        <w:tc>
          <w:tcPr>
            <w:shd w:fill="auto" w:val="clear"/>
            <w:vAlign w:val="center"/>
          </w:tcPr>
          <w:p w:rsidR="00000000" w:rsidDel="00000000" w:rsidP="00000000" w:rsidRDefault="00000000" w:rsidRPr="00000000" w14:paraId="00000195">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0,20 zł/1 minutę</w:t>
            </w:r>
          </w:p>
        </w:tc>
        <w:tc>
          <w:tcPr>
            <w:shd w:fill="auto" w:val="clear"/>
            <w:vAlign w:val="center"/>
          </w:tcPr>
          <w:p w:rsidR="00000000" w:rsidDel="00000000" w:rsidP="00000000" w:rsidRDefault="00000000" w:rsidRPr="00000000" w14:paraId="00000196">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0,20 zł/1 minutę</w:t>
            </w:r>
          </w:p>
        </w:tc>
        <w:tc>
          <w:tcPr>
            <w:shd w:fill="auto" w:val="clear"/>
            <w:vAlign w:val="center"/>
          </w:tcPr>
          <w:p w:rsidR="00000000" w:rsidDel="00000000" w:rsidP="00000000" w:rsidRDefault="00000000" w:rsidRPr="00000000" w14:paraId="00000197">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nd</w:t>
            </w:r>
          </w:p>
        </w:tc>
        <w:tc>
          <w:tcPr>
            <w:shd w:fill="auto" w:val="clear"/>
            <w:vAlign w:val="center"/>
          </w:tcPr>
          <w:p w:rsidR="00000000" w:rsidDel="00000000" w:rsidP="00000000" w:rsidRDefault="00000000" w:rsidRPr="00000000" w14:paraId="00000198">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0,40 zł/</w:t>
            </w:r>
          </w:p>
          <w:p w:rsidR="00000000" w:rsidDel="00000000" w:rsidP="00000000" w:rsidRDefault="00000000" w:rsidRPr="00000000" w14:paraId="00000199">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1 minutę</w:t>
            </w:r>
          </w:p>
        </w:tc>
      </w:tr>
      <w:tr>
        <w:trPr>
          <w:trHeight w:val="755" w:hRule="atLeast"/>
        </w:trPr>
        <w:tc>
          <w:tcPr>
            <w:gridSpan w:val="2"/>
            <w:shd w:fill="ffffff" w:val="clear"/>
            <w:vAlign w:val="center"/>
          </w:tcPr>
          <w:p w:rsidR="00000000" w:rsidDel="00000000" w:rsidP="00000000" w:rsidRDefault="00000000" w:rsidRPr="00000000" w14:paraId="0000019A">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liczba rowerów wypożyczonych </w:t>
            </w:r>
          </w:p>
          <w:p w:rsidR="00000000" w:rsidDel="00000000" w:rsidP="00000000" w:rsidRDefault="00000000" w:rsidRPr="00000000" w14:paraId="0000019B">
            <w:pPr>
              <w:widowControl w:val="0"/>
              <w:spacing w:after="60" w:line="276" w:lineRule="auto"/>
              <w:rPr>
                <w:rFonts w:ascii="Calibri" w:cs="Calibri" w:eastAsia="Calibri" w:hAnsi="Calibri"/>
              </w:rPr>
            </w:pPr>
            <w:r w:rsidDel="00000000" w:rsidR="00000000" w:rsidRPr="00000000">
              <w:rPr>
                <w:rFonts w:ascii="Calibri" w:cs="Calibri" w:eastAsia="Calibri" w:hAnsi="Calibri"/>
                <w:rtl w:val="0"/>
              </w:rPr>
              <w:t xml:space="preserve">z jednego konta  (1 na taryfę)</w:t>
            </w:r>
          </w:p>
        </w:tc>
        <w:tc>
          <w:tcPr>
            <w:shd w:fill="auto" w:val="clear"/>
            <w:vAlign w:val="center"/>
          </w:tcPr>
          <w:p w:rsidR="00000000" w:rsidDel="00000000" w:rsidP="00000000" w:rsidRDefault="00000000" w:rsidRPr="00000000" w14:paraId="0000019D">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19E">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19F">
            <w:pPr>
              <w:widowControl w:val="0"/>
              <w:spacing w:after="60"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1A0">
            <w:pPr>
              <w:widowControl w:val="0"/>
              <w:spacing w:after="60" w:line="276"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r>
    </w:tbl>
    <w:p w:rsidR="00000000" w:rsidDel="00000000" w:rsidP="00000000" w:rsidRDefault="00000000" w:rsidRPr="00000000" w14:paraId="000001A1">
      <w:pPr>
        <w:spacing w:after="60" w:line="276" w:lineRule="auto"/>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do dokonywania zmiany w taryfikatorze.</w:t>
      </w:r>
    </w:p>
    <w:p w:rsidR="00000000" w:rsidDel="00000000" w:rsidP="00000000" w:rsidRDefault="00000000" w:rsidRPr="00000000" w14:paraId="000001A3">
      <w:pPr>
        <w:widowControl w:val="0"/>
        <w:numPr>
          <w:ilvl w:val="0"/>
          <w:numId w:val="46"/>
        </w:numPr>
        <w:spacing w:after="60" w:line="276" w:lineRule="auto"/>
        <w:ind w:left="283" w:hanging="360"/>
        <w:jc w:val="both"/>
        <w:rPr>
          <w:rFonts w:ascii="Calibri" w:cs="Calibri" w:eastAsia="Calibri" w:hAnsi="Calibri"/>
        </w:rPr>
      </w:pPr>
      <w:r w:rsidDel="00000000" w:rsidR="00000000" w:rsidRPr="00000000">
        <w:rPr>
          <w:rFonts w:ascii="Calibri" w:cs="Calibri" w:eastAsia="Calibri" w:hAnsi="Calibri"/>
          <w:rtl w:val="0"/>
        </w:rPr>
        <w:t xml:space="preserve">Przychód Wykonawcy stanowi całość kwot z tytułu opłat dodatkowych nałożonych na użytkowników określonych w Regulaminie SRM MEVO, maksymalna wysokość opłat dodatkowych jest określona w § 5 ust. 6. Wykonawca przedstawia kwotę przychodu z tytułu opłat dodatkowych w raporcie za każdy miniony Okres rozliczeniowy, w terminach i na zasadach określonych w dalszych postanowieniach niniejszej Umowy.</w:t>
      </w:r>
    </w:p>
    <w:p w:rsidR="00000000" w:rsidDel="00000000" w:rsidP="00000000" w:rsidRDefault="00000000" w:rsidRPr="00000000" w14:paraId="000001A4">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najpóźniej na 7 dni przed uruchomieniem SRM MEVO, otworzy w wybranym przez siebie banku posiadającym uprawnienie do prowadzenia działalności bankowej na terytorium Rzeczypospolitej Polskiej, odrębny rachunek bankowy, na który będą wpływały wyłącznie opłaty, o których mowa w ust. 1 i 2, pobierane od Klientów. </w:t>
      </w:r>
    </w:p>
    <w:p w:rsidR="00000000" w:rsidDel="00000000" w:rsidP="00000000" w:rsidRDefault="00000000" w:rsidRPr="00000000" w14:paraId="000001A5">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będzie przekazywał do Zamawiającego całość opłat, o których mowa w ust. 1 i 2. Należności te przelewane będą na bieżąco, każdego dnia, na rachunek bankowy wskazany przez Zamawiającego.</w:t>
      </w:r>
    </w:p>
    <w:p w:rsidR="00000000" w:rsidDel="00000000" w:rsidP="00000000" w:rsidRDefault="00000000" w:rsidRPr="00000000" w14:paraId="000001A6">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 przypadku dni wolnych od pracy oraz sobót, opłaty, o których mowa w ust. 1 i 2 będą przelewane, przed terminem ostatniej sesji dziennej w banku,  na rachunek bankowy Zamawiającego, w terminie do dnia następnego, który nie jest dniem wolnym od pracy ani sobotą.</w:t>
      </w:r>
    </w:p>
    <w:p w:rsidR="00000000" w:rsidDel="00000000" w:rsidP="00000000" w:rsidRDefault="00000000" w:rsidRPr="00000000" w14:paraId="000001A7">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na wniosek (pisemny, elektroniczny) Zamawiającego będzie zobowiązany do przedłożenia dokumentu potwierdzającego wykonanie operacji przelewu.</w:t>
      </w:r>
    </w:p>
    <w:p w:rsidR="00000000" w:rsidDel="00000000" w:rsidP="00000000" w:rsidRDefault="00000000" w:rsidRPr="00000000" w14:paraId="000001A8">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przedstawi Zamawiającemu, w terminie 5-ciu dni roboczych po zakończeniu danego miesiąca, elektroniczny raport odzwierciedlający dane dla całego systemu oraz dla każdej gminy, z podziałem na płeć  i wiek Klientów, za miniony Okres rozliczeniowy funkcjonowania SRM MEVO, w szczególności:</w:t>
      </w:r>
    </w:p>
    <w:p w:rsidR="00000000" w:rsidDel="00000000" w:rsidP="00000000" w:rsidRDefault="00000000" w:rsidRPr="00000000" w14:paraId="000001A9">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dzienną i sumaryczną statystykę podróży zrealizowanych w rozbiciu na okresy czasowe uzgodnione z Zamawiającym (w rozbiciu na typ roweru: liczba podróży, średnia długość podróży, średni czas podróży, średni koszt podróży itp.); </w:t>
      </w:r>
    </w:p>
    <w:p w:rsidR="00000000" w:rsidDel="00000000" w:rsidP="00000000" w:rsidRDefault="00000000" w:rsidRPr="00000000" w14:paraId="000001AA">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dzienną i sumaryczną  (w danym okresie) wartość usług wynikającą z wielkości wpływów z opłat za korzystanie z SRM MEVO z podziałem na poszczególne opłaty;</w:t>
      </w:r>
    </w:p>
    <w:p w:rsidR="00000000" w:rsidDel="00000000" w:rsidP="00000000" w:rsidRDefault="00000000" w:rsidRPr="00000000" w14:paraId="000001AB">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dzienną i sumaryczna liczbę wypożyczeń skutecznych tj. trwających dłużej niż 60 sekund;</w:t>
      </w:r>
    </w:p>
    <w:p w:rsidR="00000000" w:rsidDel="00000000" w:rsidP="00000000" w:rsidRDefault="00000000" w:rsidRPr="00000000" w14:paraId="000001AC">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dzienną i sumaryczną statystykę wypożyczeń i zwrotów z rozbiciem na poszczególne Stacje Postoju i Strefy Relokacyjne;</w:t>
      </w:r>
    </w:p>
    <w:p w:rsidR="00000000" w:rsidDel="00000000" w:rsidP="00000000" w:rsidRDefault="00000000" w:rsidRPr="00000000" w14:paraId="000001AD">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dzienną i sumaryczną  (w danym okresie) liczbę i wartość wykupionych abonamentów na korzystanie z SRM MEVO);</w:t>
      </w:r>
    </w:p>
    <w:p w:rsidR="00000000" w:rsidDel="00000000" w:rsidP="00000000" w:rsidRDefault="00000000" w:rsidRPr="00000000" w14:paraId="000001AE">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wysokość przychodów wymienionych w ust. 1, z podziałem na poszczególne opłaty za korzystanie z SRM MEVO;</w:t>
      </w:r>
    </w:p>
    <w:p w:rsidR="00000000" w:rsidDel="00000000" w:rsidP="00000000" w:rsidRDefault="00000000" w:rsidRPr="00000000" w14:paraId="000001AF">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wysokość osiągniętych przychodów z tytułu dodatkowych opłat nałożonych na Klientów za nieregulaminowe korzystanie z rowerów, z podziałem na poszczególne opłaty dodatkowe;</w:t>
      </w:r>
    </w:p>
    <w:p w:rsidR="00000000" w:rsidDel="00000000" w:rsidP="00000000" w:rsidRDefault="00000000" w:rsidRPr="00000000" w14:paraId="000001B0">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wysokość osiągniętych przychodów z tytułu dodatkowych opłat pobranych od Klientów za regulaminowe korzystanie z rowerów, z podziałem na poszczególne opłaty dodatkowe;</w:t>
      </w:r>
    </w:p>
    <w:p w:rsidR="00000000" w:rsidDel="00000000" w:rsidP="00000000" w:rsidRDefault="00000000" w:rsidRPr="00000000" w14:paraId="000001B1">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łączną kwotę zgromadzonych Środków Klienta na kontach użytkowników na koniec okresu rozliczeniowego;</w:t>
      </w:r>
    </w:p>
    <w:p w:rsidR="00000000" w:rsidDel="00000000" w:rsidP="00000000" w:rsidRDefault="00000000" w:rsidRPr="00000000" w14:paraId="000001B2">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łączną kwotę wszystkich wpłat na poczet Środków Klienta;     </w:t>
      </w:r>
    </w:p>
    <w:p w:rsidR="00000000" w:rsidDel="00000000" w:rsidP="00000000" w:rsidRDefault="00000000" w:rsidRPr="00000000" w14:paraId="000001B3">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liczbę Klientów przystępujących i występujących z SRM MEVO z podziałem na wiek i płeć;</w:t>
      </w:r>
    </w:p>
    <w:p w:rsidR="00000000" w:rsidDel="00000000" w:rsidP="00000000" w:rsidRDefault="00000000" w:rsidRPr="00000000" w14:paraId="000001B4">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liczbę zgłoszonych przez Klientów w okresie rozliczeniowym reklamacji oraz opis przedmiotu reklamacji;</w:t>
      </w:r>
    </w:p>
    <w:p w:rsidR="00000000" w:rsidDel="00000000" w:rsidP="00000000" w:rsidRDefault="00000000" w:rsidRPr="00000000" w14:paraId="000001B5">
      <w:pPr>
        <w:widowControl w:val="0"/>
        <w:numPr>
          <w:ilvl w:val="0"/>
          <w:numId w:val="20"/>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średnią liczbę Rowerów dostępnych w SRM MEVO.</w:t>
      </w:r>
    </w:p>
    <w:p w:rsidR="00000000" w:rsidDel="00000000" w:rsidP="00000000" w:rsidRDefault="00000000" w:rsidRPr="00000000" w14:paraId="000001B6">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Niezależnie od powyższego, Wykonawca zobowiązany jest do wykonania obowiązków w zakresie raportowania, opisanych w SIWZ oraz udzielić, na każde wezwanie Zamawiającego, pełnych i szczegółowych informacji w zakresie wszelkich przychodów i kosztów związanych z funkcjonowaniem SRM MEVO.</w:t>
      </w:r>
    </w:p>
    <w:p w:rsidR="00000000" w:rsidDel="00000000" w:rsidP="00000000" w:rsidRDefault="00000000" w:rsidRPr="00000000" w14:paraId="000001B7">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w terminie 15-stu dni roboczych po zakończeniu danego miesiąca, przekaże Zamawiającemu raporty korygujące dane przekazane zgodnie z ust. 8, wynikające z rozpatrzonych reklamacji z danego miesiąca.</w:t>
      </w:r>
    </w:p>
    <w:p w:rsidR="00000000" w:rsidDel="00000000" w:rsidP="00000000" w:rsidRDefault="00000000" w:rsidRPr="00000000" w14:paraId="000001B8">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Różnice wynikające z wysokości wpłat wykonanych na podstawie ust. 5 i 6 oraz korekt wynikających z rozpatrzenia reklamacji, o których mowa w ust. 8 i 10, będą regulowane raz w roku, do dnia 20 grudnia każdego roku.</w:t>
      </w:r>
    </w:p>
    <w:p w:rsidR="00000000" w:rsidDel="00000000" w:rsidP="00000000" w:rsidRDefault="00000000" w:rsidRPr="00000000" w14:paraId="000001B9">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Po otrzymaniu wszystkich danych wymienionych w ust. 8, Zamawiający podpisze z Wykonawcą protokół wykonania Umowy za dany Okres rozliczeniowy.</w:t>
      </w:r>
    </w:p>
    <w:p w:rsidR="00000000" w:rsidDel="00000000" w:rsidP="00000000" w:rsidRDefault="00000000" w:rsidRPr="00000000" w14:paraId="000001BA">
      <w:pPr>
        <w:widowControl w:val="0"/>
        <w:numPr>
          <w:ilvl w:val="0"/>
          <w:numId w:val="46"/>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Na zakończenie okresu obowiązywania Umowy Wykonawca przedstawi zestawienie pobranych i wykorzystanych opłat oraz zwrotów kwot niewykorzystanych, dokonanych przez Wykonawcę za okres trwania Umowy, w podziale na rodzaje opłat i lata z podziałem na konta indywidualne Klientów. Środki Klienta nierozliczone z Klientami, Wykonawca przekaże na wskazany przez Zamawiającego rachunek bankowy.</w:t>
      </w:r>
    </w:p>
    <w:p w:rsidR="00000000" w:rsidDel="00000000" w:rsidP="00000000" w:rsidRDefault="00000000" w:rsidRPr="00000000" w14:paraId="000001BB">
      <w:pPr>
        <w:widowControl w:val="0"/>
        <w:spacing w:after="60" w:line="276" w:lineRule="auto"/>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C">
      <w:pPr>
        <w:keepNext w:val="1"/>
        <w:spacing w:after="6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12 – Dane osobowe</w:t>
      </w:r>
    </w:p>
    <w:p w:rsidR="00000000" w:rsidDel="00000000" w:rsidP="00000000" w:rsidRDefault="00000000" w:rsidRPr="00000000" w14:paraId="000001BD">
      <w:pPr>
        <w:numPr>
          <w:ilvl w:val="0"/>
          <w:numId w:val="48"/>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zakresie niezbędnym do realizacji Umowy Wykonawca będzie pozyskiwał i przetwarzał dane osobowe Klientów SRM MEVO (dane te zbiorczo zwane dalej: „Bazą Danych MEVO”).</w:t>
      </w:r>
    </w:p>
    <w:p w:rsidR="00000000" w:rsidDel="00000000" w:rsidP="00000000" w:rsidRDefault="00000000" w:rsidRPr="00000000" w14:paraId="000001BE">
      <w:pPr>
        <w:numPr>
          <w:ilvl w:val="0"/>
          <w:numId w:val="48"/>
        </w:numPr>
        <w:spacing w:after="60" w:line="276" w:lineRule="auto"/>
        <w:ind w:left="357" w:hanging="360"/>
        <w:jc w:val="both"/>
        <w:rPr>
          <w:rFonts w:ascii="Calibri" w:cs="Calibri" w:eastAsia="Calibri" w:hAnsi="Calibri"/>
        </w:rPr>
      </w:pPr>
      <w:r w:rsidDel="00000000" w:rsidR="00000000" w:rsidRPr="00000000">
        <w:rPr>
          <w:rFonts w:ascii="Calibri" w:cs="Calibri" w:eastAsia="Calibri" w:hAnsi="Calibri"/>
          <w:rtl w:val="0"/>
        </w:rPr>
        <w:t xml:space="preserve">Strony w zakresie przetwarzania Bazy Danych MEVO uznają siebie za współadministratorów w rozumieniu art. 4 pkt 7 rozporządzenia Parlamentu Europejskiego i Rady (UE) 2016/679 z dnia 27 kwietnia 2016 r. w sprawie ochrony osób fizycznych w związku z przetwarzaniem danych osobowych i w sprawie swobodnego przepływu takich danych oraz uchylenia dyrektywy 95/46/WE (dalej zwane: „RODO”).</w:t>
      </w:r>
    </w:p>
    <w:p w:rsidR="00000000" w:rsidDel="00000000" w:rsidP="00000000" w:rsidRDefault="00000000" w:rsidRPr="00000000" w14:paraId="000001BF">
      <w:pPr>
        <w:numPr>
          <w:ilvl w:val="0"/>
          <w:numId w:val="48"/>
        </w:numPr>
        <w:spacing w:after="60" w:line="276" w:lineRule="auto"/>
        <w:ind w:left="357" w:hanging="360"/>
        <w:jc w:val="both"/>
        <w:rPr>
          <w:rFonts w:ascii="Calibri" w:cs="Calibri" w:eastAsia="Calibri" w:hAnsi="Calibri"/>
        </w:rPr>
      </w:pPr>
      <w:r w:rsidDel="00000000" w:rsidR="00000000" w:rsidRPr="00000000">
        <w:rPr>
          <w:rFonts w:ascii="Calibri" w:cs="Calibri" w:eastAsia="Calibri" w:hAnsi="Calibri"/>
          <w:rtl w:val="0"/>
        </w:rPr>
        <w:t xml:space="preserve">Wykonawca po zawarciu niniejszej Umowy, zanim rozpocznie pozyskiwanie jakichkolwiek danych osobowych Klientów będzie zobowiązany do podpisania z Zamawiającym umowy o współadministrowaniu danymi, która w szczególności określać będzie kwestie:</w:t>
      </w:r>
    </w:p>
    <w:p w:rsidR="00000000" w:rsidDel="00000000" w:rsidP="00000000" w:rsidRDefault="00000000" w:rsidRPr="00000000" w14:paraId="000001C0">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zakresu przetwarzania przez Strony - danych osobowych Klientów, pozyskanych w procesie zawierania umów z Klientami (kategorie osób, kategorie danych osobowych, kategorie przetwarzania),</w:t>
      </w:r>
    </w:p>
    <w:p w:rsidR="00000000" w:rsidDel="00000000" w:rsidP="00000000" w:rsidRDefault="00000000" w:rsidRPr="00000000" w14:paraId="000001C1">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wypełniania obowiązku informacyjnego,</w:t>
      </w:r>
    </w:p>
    <w:p w:rsidR="00000000" w:rsidDel="00000000" w:rsidP="00000000" w:rsidRDefault="00000000" w:rsidRPr="00000000" w14:paraId="000001C2">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zasad wykorzystywania danych osobowych Klientów,</w:t>
      </w:r>
    </w:p>
    <w:p w:rsidR="00000000" w:rsidDel="00000000" w:rsidP="00000000" w:rsidRDefault="00000000" w:rsidRPr="00000000" w14:paraId="000001C3">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obowiązków Wykonawcy wynikających z przestrzegania przepisów dotyczących ochrony danych osobowych, w tym obowiązku wykonywania przez Wykonawcę analizy ryzyka,</w:t>
      </w:r>
    </w:p>
    <w:p w:rsidR="00000000" w:rsidDel="00000000" w:rsidP="00000000" w:rsidRDefault="00000000" w:rsidRPr="00000000" w14:paraId="000001C4">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określenia podstaw prawnych przetwarzania danych przez poszczególnych współadministratorów,</w:t>
      </w:r>
    </w:p>
    <w:p w:rsidR="00000000" w:rsidDel="00000000" w:rsidP="00000000" w:rsidRDefault="00000000" w:rsidRPr="00000000" w14:paraId="000001C5">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obsługi incydentów, w tym zgłaszania naruszeń do Prezesa Urzędu Ochrony Danych Osobowych w trybie art. 33 RODO, a także w trybie art. 34 - przez Wykonawcę. Ponadto umowa współadministrowania regulować będzie obowiązek i tryb informowania Zamawiającego przez Wykonawcę, w przypadku wystąpienia incydentów i naruszeń dotyczących zakresu działania Wykonawcy,</w:t>
      </w:r>
    </w:p>
    <w:p w:rsidR="00000000" w:rsidDel="00000000" w:rsidP="00000000" w:rsidRDefault="00000000" w:rsidRPr="00000000" w14:paraId="000001C6">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wyznaczenia przez Wykonawcę inspektora ochrony danych osobowych, o którym mowa w art. 37 RODO,</w:t>
      </w:r>
    </w:p>
    <w:p w:rsidR="00000000" w:rsidDel="00000000" w:rsidP="00000000" w:rsidRDefault="00000000" w:rsidRPr="00000000" w14:paraId="000001C7">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wykonania przez Wykonawcę oceny skutków dla przetwarzania danych (DPIA) wg art. 35 RODO oraz tryb przekazywania Zamawiającemu informacji w tym zakresie,</w:t>
      </w:r>
    </w:p>
    <w:p w:rsidR="00000000" w:rsidDel="00000000" w:rsidP="00000000" w:rsidRDefault="00000000" w:rsidRPr="00000000" w14:paraId="000001C8">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Wykonawcy podejmowania współpracy z organem nadzorczym,</w:t>
      </w:r>
    </w:p>
    <w:p w:rsidR="00000000" w:rsidDel="00000000" w:rsidP="00000000" w:rsidRDefault="00000000" w:rsidRPr="00000000" w14:paraId="000001C9">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pełnienia przez Wykonawcę funkcji punktu kontaktowego dla organu nadzorczego w kwestiach związanych z przetwarzaniem, w tym uprzednimi konsultacjami, o których mowa w art. 36 RODO oraz w stosownych przypadkach prowadzenia konsultacji we wszelkich innych sprawach (wg art. 39 ust.1 lit. e – RODO)</w:t>
      </w:r>
    </w:p>
    <w:p w:rsidR="00000000" w:rsidDel="00000000" w:rsidP="00000000" w:rsidRDefault="00000000" w:rsidRPr="00000000" w14:paraId="000001CA">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zapewnienia Zamawiającemu bieżącego dostępu do Bazy Danych MEVO;</w:t>
      </w:r>
    </w:p>
    <w:p w:rsidR="00000000" w:rsidDel="00000000" w:rsidP="00000000" w:rsidRDefault="00000000" w:rsidRPr="00000000" w14:paraId="000001CB">
      <w:pPr>
        <w:numPr>
          <w:ilvl w:val="0"/>
          <w:numId w:val="42"/>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dotyczące przetwarzania danych osobowych w kontekście integracji SRM MEVO z Platformą Zintegrowanych Usług Mobilności FALA.</w:t>
      </w:r>
    </w:p>
    <w:p w:rsidR="00000000" w:rsidDel="00000000" w:rsidP="00000000" w:rsidRDefault="00000000" w:rsidRPr="00000000" w14:paraId="000001CC">
      <w:pPr>
        <w:numPr>
          <w:ilvl w:val="0"/>
          <w:numId w:val="42"/>
        </w:numPr>
        <w:spacing w:after="60" w:line="276" w:lineRule="auto"/>
        <w:ind w:left="786" w:hanging="360"/>
        <w:jc w:val="both"/>
        <w:rPr>
          <w:rFonts w:ascii="Calibri" w:cs="Calibri" w:eastAsia="Calibri" w:hAnsi="Calibri"/>
        </w:rPr>
      </w:pPr>
      <w:r w:rsidDel="00000000" w:rsidR="00000000" w:rsidRPr="00000000">
        <w:rPr>
          <w:rFonts w:ascii="Calibri" w:cs="Calibri" w:eastAsia="Calibri" w:hAnsi="Calibri"/>
          <w:rtl w:val="0"/>
        </w:rPr>
        <w:t xml:space="preserve">związane z ustaleniem zasad powierzania</w:t>
      </w:r>
      <w:r w:rsidDel="00000000" w:rsidR="00000000" w:rsidRPr="00000000">
        <w:rPr>
          <w:rtl w:val="0"/>
        </w:rPr>
        <w:t xml:space="preserve"> </w:t>
      </w:r>
      <w:r w:rsidDel="00000000" w:rsidR="00000000" w:rsidRPr="00000000">
        <w:rPr>
          <w:rFonts w:ascii="Calibri" w:cs="Calibri" w:eastAsia="Calibri" w:hAnsi="Calibri"/>
          <w:rtl w:val="0"/>
        </w:rPr>
        <w:t xml:space="preserve">do przetwarzania podmiotom trzecim Bazy Danych MEVO.</w:t>
      </w:r>
    </w:p>
    <w:p w:rsidR="00000000" w:rsidDel="00000000" w:rsidP="00000000" w:rsidRDefault="00000000" w:rsidRPr="00000000" w14:paraId="000001CD">
      <w:pPr>
        <w:numPr>
          <w:ilvl w:val="0"/>
          <w:numId w:val="48"/>
        </w:numPr>
        <w:spacing w:after="60" w:line="276" w:lineRule="auto"/>
        <w:ind w:left="357"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zobowiązany będzie przetwarzać Bazę Danych MEVO zgodnie z wszelkimi przepisami prawa ochrony danych, w szczególności zgodnie z:</w:t>
      </w:r>
    </w:p>
    <w:p w:rsidR="00000000" w:rsidDel="00000000" w:rsidP="00000000" w:rsidRDefault="00000000" w:rsidRPr="00000000" w14:paraId="000001CE">
      <w:pPr>
        <w:numPr>
          <w:ilvl w:val="0"/>
          <w:numId w:val="44"/>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ustawą z dnia 10 maja 2018 r. o ochronie danych osobowych (tekst jednolity: Dz. U. z 2019 r., poz. 1781);</w:t>
      </w:r>
    </w:p>
    <w:p w:rsidR="00000000" w:rsidDel="00000000" w:rsidP="00000000" w:rsidRDefault="00000000" w:rsidRPr="00000000" w14:paraId="000001CF">
      <w:pPr>
        <w:numPr>
          <w:ilvl w:val="0"/>
          <w:numId w:val="44"/>
        </w:numPr>
        <w:spacing w:after="6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RODO;</w:t>
      </w:r>
    </w:p>
    <w:p w:rsidR="00000000" w:rsidDel="00000000" w:rsidP="00000000" w:rsidRDefault="00000000" w:rsidRPr="00000000" w14:paraId="000001D0">
      <w:pPr>
        <w:spacing w:after="60" w:line="276" w:lineRule="auto"/>
        <w:ind w:firstLine="717"/>
        <w:jc w:val="both"/>
        <w:rPr>
          <w:rFonts w:ascii="Calibri" w:cs="Calibri" w:eastAsia="Calibri" w:hAnsi="Calibri"/>
        </w:rPr>
      </w:pPr>
      <w:r w:rsidDel="00000000" w:rsidR="00000000" w:rsidRPr="00000000">
        <w:rPr>
          <w:rFonts w:ascii="Calibri" w:cs="Calibri" w:eastAsia="Calibri" w:hAnsi="Calibri"/>
          <w:rtl w:val="0"/>
        </w:rPr>
        <w:t xml:space="preserve">- za co Wykonawca ponosić będzie wyłączną odpowiedzialność. </w:t>
      </w:r>
    </w:p>
    <w:p w:rsidR="00000000" w:rsidDel="00000000" w:rsidP="00000000" w:rsidRDefault="00000000" w:rsidRPr="00000000" w14:paraId="000001D1">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przypadku, gdyby Wykonawca zakończył świadczenie usług objętych Umową, Strony poniżej określają warunki udostępnienia Bazy Danych MEVO Zamawiającemu w celu zapewnienia Użytkownikom możliwości kontynuowania korzystania z Systemu MEVO. </w:t>
      </w:r>
    </w:p>
    <w:p w:rsidR="00000000" w:rsidDel="00000000" w:rsidP="00000000" w:rsidRDefault="00000000" w:rsidRPr="00000000" w14:paraId="000001D2">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przypadku określonym w ust. 5, Wykonawca udostępni Zamawiającemu następujący zakres danych osobowych Klientów znajdujących się w Bazie Danych MEVO:</w:t>
      </w:r>
    </w:p>
    <w:p w:rsidR="00000000" w:rsidDel="00000000" w:rsidP="00000000" w:rsidRDefault="00000000" w:rsidRPr="00000000" w14:paraId="000001D3">
      <w:pPr>
        <w:numPr>
          <w:ilvl w:val="0"/>
          <w:numId w:val="29"/>
        </w:numPr>
        <w:spacing w:after="6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imię,</w:t>
      </w:r>
    </w:p>
    <w:p w:rsidR="00000000" w:rsidDel="00000000" w:rsidP="00000000" w:rsidRDefault="00000000" w:rsidRPr="00000000" w14:paraId="000001D4">
      <w:pPr>
        <w:numPr>
          <w:ilvl w:val="0"/>
          <w:numId w:val="29"/>
        </w:numPr>
        <w:spacing w:after="6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nazwisko,</w:t>
      </w:r>
    </w:p>
    <w:p w:rsidR="00000000" w:rsidDel="00000000" w:rsidP="00000000" w:rsidRDefault="00000000" w:rsidRPr="00000000" w14:paraId="000001D5">
      <w:pPr>
        <w:numPr>
          <w:ilvl w:val="0"/>
          <w:numId w:val="29"/>
        </w:numPr>
        <w:spacing w:after="6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nr telefonu,</w:t>
      </w:r>
    </w:p>
    <w:p w:rsidR="00000000" w:rsidDel="00000000" w:rsidP="00000000" w:rsidRDefault="00000000" w:rsidRPr="00000000" w14:paraId="000001D6">
      <w:pPr>
        <w:numPr>
          <w:ilvl w:val="0"/>
          <w:numId w:val="29"/>
        </w:numPr>
        <w:spacing w:after="6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adres poczty elektronicznej,</w:t>
      </w:r>
    </w:p>
    <w:p w:rsidR="00000000" w:rsidDel="00000000" w:rsidP="00000000" w:rsidRDefault="00000000" w:rsidRPr="00000000" w14:paraId="000001D7">
      <w:pPr>
        <w:numPr>
          <w:ilvl w:val="0"/>
          <w:numId w:val="29"/>
        </w:numPr>
        <w:spacing w:after="6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aktualny stan rozliczeń opłat za korzystanie z SRM MEVO w odniesieniu do każdego Klienta osobno, ustalony na podstawie Środków Klienta z dnia przekazania.</w:t>
      </w:r>
    </w:p>
    <w:p w:rsidR="00000000" w:rsidDel="00000000" w:rsidP="00000000" w:rsidRDefault="00000000" w:rsidRPr="00000000" w14:paraId="000001D8">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Wykonawca nie później niż w terminie 14 (słownie: czternastu) dni kalendarzowych przed planowanym zakończeniem świadczenia usług przekaże Zamawiającemu Bazę Danych MEVO, względnie zapewni Zamawiającemu możliwość jej pobrania w sposób zapewniający kompletność, aktualność i integralność danych wskazanych w ust. 6. Jeżeli zakończenie świadczenia usług następuje w trybie natychmiastowego rozwiązania Umowy, to Wykonawca przekaże (względnie: zapewni możliwość pobrania zgodnie z wytycznymi określonymi w zdaniu poprzednim) bazę danych niezwłocznie, nie później jednak niż w terminie 3 (słownie: trzech) dni roboczych od otrzymania wezwania od Zamawiającego.</w:t>
      </w:r>
    </w:p>
    <w:p w:rsidR="00000000" w:rsidDel="00000000" w:rsidP="00000000" w:rsidRDefault="00000000" w:rsidRPr="00000000" w14:paraId="000001D9">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przypadku przekazanie Bazy Danych MEVO, nastąpi to poprzez doręczenie na 3 egzemplarzach na nośniku cyfrowym zawierających zaszyfrowane pliki z danymi osobowymi, co winno zostać potwierdzone protokołem zdawczo – odbiorczym podpisanym przez przedstawicieli obu Stron. W przypadku udostępnienia Zamawiającemu możliwości pobrania informacji z Bazy Danych MEVO zgodnie z postanowieniami poprzedzającymi, dokonanie takiego pobrania zostanie przez Strony potwierdzone stosownym protokołem</w:t>
      </w:r>
    </w:p>
    <w:p w:rsidR="00000000" w:rsidDel="00000000" w:rsidP="00000000" w:rsidRDefault="00000000" w:rsidRPr="00000000" w14:paraId="000001DA">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przypadku zwłoki Wykonawcy z przekazaniem Bazy Danych MEVO w terminie i sposób, o którym mowa w ust. 7-8, Wykonawca zapłaci Zamawiającemu karę umowną w wysokości 500,00 zł (słownie: pięćset złotych) za każdy dzień zwłoki, łącznie nie więcej jednak niż 150.000, 00 (słownie: sto pięćdziesiąt tysięcy) złotych. </w:t>
      </w:r>
    </w:p>
    <w:p w:rsidR="00000000" w:rsidDel="00000000" w:rsidP="00000000" w:rsidRDefault="00000000" w:rsidRPr="00000000" w14:paraId="000001DB">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Zapłata kary umownej, o której mowa powyżej nie ogranicza dochodzenia przez Zamawiającego odszkodowania uzupełniającego na zasadach ogólnych, w przypadku gdy wysokość poniesionej szkody przewyższa zastrzeżoną wysokość kar umownych.</w:t>
      </w:r>
    </w:p>
    <w:p w:rsidR="00000000" w:rsidDel="00000000" w:rsidP="00000000" w:rsidRDefault="00000000" w:rsidRPr="00000000" w14:paraId="000001DC">
      <w:pPr>
        <w:numPr>
          <w:ilvl w:val="0"/>
          <w:numId w:val="10"/>
        </w:numPr>
        <w:spacing w:after="6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Po zakończeniu przez Wykonawcę świadczenia usług objętych niniejszą Umową każda ze Stron samodzielnie i niezależnie od drugiej Strony w stosunku do Bazy Danych MEVO będzie ponosić odpowiedzialność za przestrzeganie przepisów prawa z zakresu ochrony danych osobowych, w szczególności: ustawy z dnia 10 maja 2018 r. o ochronie danych osobowych (tekst jednolity: </w:t>
      </w:r>
      <w:hyperlink r:id="rId8">
        <w:r w:rsidDel="00000000" w:rsidR="00000000" w:rsidRPr="00000000">
          <w:rPr>
            <w:rFonts w:ascii="Calibri" w:cs="Calibri" w:eastAsia="Calibri" w:hAnsi="Calibri"/>
            <w:u w:val="single"/>
            <w:rtl w:val="0"/>
          </w:rPr>
          <w:t xml:space="preserve">Dz.U. 2019 poz. 1781</w:t>
        </w:r>
      </w:hyperlink>
      <w:r w:rsidDel="00000000" w:rsidR="00000000" w:rsidRPr="00000000">
        <w:rPr>
          <w:rFonts w:ascii="Calibri" w:cs="Calibri" w:eastAsia="Calibri" w:hAnsi="Calibri"/>
          <w:rtl w:val="0"/>
        </w:rPr>
        <w:t xml:space="preserve"> ze zm.) oraz RODO.</w:t>
      </w:r>
    </w:p>
    <w:p w:rsidR="00000000" w:rsidDel="00000000" w:rsidP="00000000" w:rsidRDefault="00000000" w:rsidRPr="00000000" w14:paraId="000001DD">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widowControl w:val="0"/>
        <w:spacing w:after="6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13 – Podwykonawcy</w:t>
      </w:r>
    </w:p>
    <w:p w:rsidR="00000000" w:rsidDel="00000000" w:rsidP="00000000" w:rsidRDefault="00000000" w:rsidRPr="00000000" w14:paraId="000001DF">
      <w:pPr>
        <w:widowControl w:val="0"/>
        <w:numPr>
          <w:ilvl w:val="0"/>
          <w:numId w:val="2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powierza wykonanie części Przedmiotu Umowy, jako Podwykonawcy, firmie/firmom …………………………………………., na której zasobach polega na zasadach określonych w art. 22a uPzp. Zamawiający musi wyrazić pisemną zgodę na każdorazową zmianę Podwykonawcy, pod rygorem nieważności.</w:t>
      </w:r>
    </w:p>
    <w:p w:rsidR="00000000" w:rsidDel="00000000" w:rsidP="00000000" w:rsidRDefault="00000000" w:rsidRPr="00000000" w14:paraId="000001E0">
      <w:pPr>
        <w:widowControl w:val="0"/>
        <w:numPr>
          <w:ilvl w:val="0"/>
          <w:numId w:val="2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Podwykonawca wykona następujący zakres Przedmiotu Umowy:……………………………………………….. (dot. podwykonawcy znanego na etapie składania oferty). </w:t>
      </w:r>
    </w:p>
    <w:p w:rsidR="00000000" w:rsidDel="00000000" w:rsidP="00000000" w:rsidRDefault="00000000" w:rsidRPr="00000000" w14:paraId="000001E1">
      <w:pPr>
        <w:widowControl w:val="0"/>
        <w:numPr>
          <w:ilvl w:val="0"/>
          <w:numId w:val="2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może powierzyć Podwykonawcy wykonanie części Przedmiotu Umowy w zakresie niewymienionym  w ust. 2, za wyjątkiem kluczowej części Przedmiotu Umowy, którą Zamawiający zastrzegł do osobistego wykonania przez Wykonawcę, wskazanej w § 3 ust. 13.</w:t>
      </w:r>
    </w:p>
    <w:p w:rsidR="00000000" w:rsidDel="00000000" w:rsidP="00000000" w:rsidRDefault="00000000" w:rsidRPr="00000000" w14:paraId="000001E2">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jest zobowiązany do dokonania starannego wyboru Podwykonawców spośród podmiotów mających odpowiednie doświadczenie i kwalifikacje. Zatrudnienie Podwykonawcy nie zwalnia Wykonawcy od odpowiedzialności za należyte wykonanie czynności powierzonych Podwykonawcy. Ponadto, Wykonawca jest zobowiązany sprawować stały nadzór nad realizacją zadań przez Podwykonawców i ponosi pełną odpowiedzialność za ich działania lub zaniechania, w tym, w szczególności, za szkody wyrządzone Zamawiającemu i osobom trzecim działaniami lub zaniechaniami Podwykonawców.</w:t>
      </w:r>
    </w:p>
    <w:p w:rsidR="00000000" w:rsidDel="00000000" w:rsidP="00000000" w:rsidRDefault="00000000" w:rsidRPr="00000000" w14:paraId="000001E3">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Z zastrzeżeniem postanowień niniejszej Umowy, powszechnie obowiązujących przepisów prawa oraz rozdziału 4 SIWZ, Wykonawca zamierzający, w trakcie realizacji Zamówienia, zawrzeć umowę o podwykonawstwo, w zakresie realizacji Przedmiotu Umowy, jest zobowiązany do przedłożenia Zamawiającemu projektu tej umowy i uzyskania pisemnej akceptacji Zamawiającego przed skierowaniem Podwykonawcy do wykonania Przedmiotu Umowy. </w:t>
      </w:r>
    </w:p>
    <w:p w:rsidR="00000000" w:rsidDel="00000000" w:rsidP="00000000" w:rsidRDefault="00000000" w:rsidRPr="00000000" w14:paraId="000001E4">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Termin zapłaty wynagrodzenia Podwykonawcy, przewidziany w umowie o podwykonawstwo nie może być dłuższy niż 30 dni od dnia doręczenia Wykonawcy faktury lub rachunku, potwierdzającej wykonanie zleconych Podwykonawcy robót budowlanych, usług lub dostaw.</w:t>
      </w:r>
    </w:p>
    <w:p w:rsidR="00000000" w:rsidDel="00000000" w:rsidP="00000000" w:rsidRDefault="00000000" w:rsidRPr="00000000" w14:paraId="000001E5">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Zamawiający, w terminie 14 dni od otrzymania projektu umowy o podwykonawstwo, zgłasza pisemne zastrzeżenia do projektu umowy o podwykonawstwo:</w:t>
      </w:r>
    </w:p>
    <w:p w:rsidR="00000000" w:rsidDel="00000000" w:rsidP="00000000" w:rsidRDefault="00000000" w:rsidRPr="00000000" w14:paraId="000001E6">
      <w:pPr>
        <w:widowControl w:val="0"/>
        <w:numPr>
          <w:ilvl w:val="0"/>
          <w:numId w:val="13"/>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niespełniającej wymagań określonych w  SIWZ i niniejszej Umowie;</w:t>
      </w:r>
    </w:p>
    <w:p w:rsidR="00000000" w:rsidDel="00000000" w:rsidP="00000000" w:rsidRDefault="00000000" w:rsidRPr="00000000" w14:paraId="000001E7">
      <w:pPr>
        <w:widowControl w:val="0"/>
        <w:numPr>
          <w:ilvl w:val="0"/>
          <w:numId w:val="13"/>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gdy przewiduje termin zapłaty wynagrodzenia dłuższy niż określony w ust. 6.</w:t>
      </w:r>
    </w:p>
    <w:p w:rsidR="00000000" w:rsidDel="00000000" w:rsidP="00000000" w:rsidRDefault="00000000" w:rsidRPr="00000000" w14:paraId="000001E8">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Niezgłoszenie pisemnych zastrzeżeń do przedłożonego projektu umowy o podwykonawstwo, w terminie określonym w ust. </w:t>
      </w:r>
      <w:r w:rsidDel="00000000" w:rsidR="00000000" w:rsidRPr="00000000">
        <w:rPr>
          <w:rtl w:val="0"/>
        </w:rPr>
        <w:t xml:space="preserve">7</w:t>
      </w:r>
      <w:r w:rsidDel="00000000" w:rsidR="00000000" w:rsidRPr="00000000">
        <w:rPr>
          <w:rFonts w:ascii="Calibri" w:cs="Calibri" w:eastAsia="Calibri" w:hAnsi="Calibri"/>
          <w:rtl w:val="0"/>
        </w:rPr>
        <w:t xml:space="preserve">, uważa się za akceptację projektu umowy przez Zamawiającego.</w:t>
      </w:r>
    </w:p>
    <w:p w:rsidR="00000000" w:rsidDel="00000000" w:rsidP="00000000" w:rsidRDefault="00000000" w:rsidRPr="00000000" w14:paraId="000001E9">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Po zawarciu umowy z Podwykonawcą, Wykonawca zobowiązany jest przedłożyć Zamawiającemu poświadczoną za zgodność z oryginałem kopię zawartej umowy o podwykonawstwo, w terminie 7 dni od dnia jej zawarcia, z wyłączeniem umów o podwykonawstwo, których przedmiotem są usługi lub dostawy, o wartości mniejszej niż 50 000 pln.</w:t>
      </w:r>
    </w:p>
    <w:p w:rsidR="00000000" w:rsidDel="00000000" w:rsidP="00000000" w:rsidRDefault="00000000" w:rsidRPr="00000000" w14:paraId="000001EA">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przypadku zawarcia kilku umów o podwykonawstwo z tym samym Podwykonawcą, ust. 9 stosuje się odpowiednio, gdy suma wartości tych umów spełnia wymogi określone w ust. 9.</w:t>
      </w:r>
    </w:p>
    <w:p w:rsidR="00000000" w:rsidDel="00000000" w:rsidP="00000000" w:rsidRDefault="00000000" w:rsidRPr="00000000" w14:paraId="000001EB">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Procedura opisana powyżej  ma zastosowanie odpowiednio do wszystkich zmian, uzupełnień oraz aneksów do umów z Podwykonawcami. </w:t>
      </w:r>
    </w:p>
    <w:p w:rsidR="00000000" w:rsidDel="00000000" w:rsidP="00000000" w:rsidRDefault="00000000" w:rsidRPr="00000000" w14:paraId="000001EC">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Podwykonawca przejmujący wykonywanie zadań w miejsce pierwotnego Podwykonawcy, o którym mowa w ust. 1 musi spełniać takie same warunki, określone w SIWZ jak Podwykonawca pierwotny i przejmie obowiązki na takich samych zasadach jak Podwykonawca pierwotny.</w:t>
      </w:r>
    </w:p>
    <w:p w:rsidR="00000000" w:rsidDel="00000000" w:rsidP="00000000" w:rsidRDefault="00000000" w:rsidRPr="00000000" w14:paraId="000001ED">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przypadku zawarcia przez Wykonawcę  umowy z Podwykonawcą, Wykonawca jest zobowiązany do zapłaty należnego wynagrodzenia Podwykonawcom, w terminie określonym w umowie z Podwykonawcą, przy czym termin ten powinien być ustalony w taki sposób, aby umożliwiał spełnienie przez Wykonawcę warunku określonego w ust. 6. Zamawiający będzie miał prawo i możliwość weryfikacji zapłaty tych zobowiązań. Wykonawca na każde żądanie Zamawiającego przedstawi dowody zapłaty lub oświadczenia Podwykonawców, o nie zaleganiu z opłatami na jego rzecz. </w:t>
      </w:r>
    </w:p>
    <w:p w:rsidR="00000000" w:rsidDel="00000000" w:rsidP="00000000" w:rsidRDefault="00000000" w:rsidRPr="00000000" w14:paraId="000001EE">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Każda umowa zawarta z Podwykonawcą musi mieć formę pisemną pod rygorem  nieważności oraz winna zawierać w szczególności:</w:t>
      </w:r>
    </w:p>
    <w:p w:rsidR="00000000" w:rsidDel="00000000" w:rsidP="00000000" w:rsidRDefault="00000000" w:rsidRPr="00000000" w14:paraId="000001EF">
      <w:pPr>
        <w:widowControl w:val="0"/>
        <w:numPr>
          <w:ilvl w:val="0"/>
          <w:numId w:val="33"/>
        </w:numPr>
        <w:spacing w:after="6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szczegółowy zakres zadań powierzonych Podwykonawcy, tj. wskazanie, jakie zadania składające się na dany element realizacji Przedmiotu Umowy będzie realizował dany Podwykonawca;</w:t>
      </w:r>
    </w:p>
    <w:p w:rsidR="00000000" w:rsidDel="00000000" w:rsidP="00000000" w:rsidRDefault="00000000" w:rsidRPr="00000000" w14:paraId="000001F0">
      <w:pPr>
        <w:widowControl w:val="0"/>
        <w:numPr>
          <w:ilvl w:val="0"/>
          <w:numId w:val="33"/>
        </w:numPr>
        <w:spacing w:after="6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wysokość wynagrodzenia Podwykonawcy;</w:t>
      </w:r>
    </w:p>
    <w:p w:rsidR="00000000" w:rsidDel="00000000" w:rsidP="00000000" w:rsidRDefault="00000000" w:rsidRPr="00000000" w14:paraId="000001F1">
      <w:pPr>
        <w:widowControl w:val="0"/>
        <w:numPr>
          <w:ilvl w:val="0"/>
          <w:numId w:val="33"/>
        </w:numPr>
        <w:spacing w:after="6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termin wykonania zadań przez Podwykonawcę, który nie może być późniejszy niż termin zakończenia zadań określony Umową i musi gwarantować wykonanie Przedmiotu Umowy w terminie umownym;</w:t>
      </w:r>
    </w:p>
    <w:p w:rsidR="00000000" w:rsidDel="00000000" w:rsidP="00000000" w:rsidRDefault="00000000" w:rsidRPr="00000000" w14:paraId="000001F2">
      <w:pPr>
        <w:widowControl w:val="0"/>
        <w:numPr>
          <w:ilvl w:val="0"/>
          <w:numId w:val="33"/>
        </w:numPr>
        <w:spacing w:after="6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termin zapłaty wynagrodzenia Podwykonawcy, który nie może być dłuższy niż 30 dni od dnia doręczenia Wykonawcy faktury lub rachunku potwierdzającego wykonanie zleconych Podwykonawcy zadań;</w:t>
      </w:r>
    </w:p>
    <w:p w:rsidR="00000000" w:rsidDel="00000000" w:rsidP="00000000" w:rsidRDefault="00000000" w:rsidRPr="00000000" w14:paraId="000001F3">
      <w:pPr>
        <w:widowControl w:val="0"/>
        <w:numPr>
          <w:ilvl w:val="0"/>
          <w:numId w:val="33"/>
        </w:numPr>
        <w:spacing w:after="6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zakaz dokonywania potrąceń i kompensat pomiędzy Wykonawcą i Podwykonawcą, w szczególności wynikających ze stosunków prawnych niezwiązanych z realizacją Umowy. Zamawiający dopuszcza tworzenie zabezpieczenia należytego wykonania Umowy zawartej z Podwykonawcą w formie pieniężnej, poprzez potrącenie przez Wykonawcę kwoty zabezpieczenia z wynagrodzenia przysługującego Podwykonawcy oraz dopuszcza potrącenie kar umownych z wynagrodzenia przysługującego Podwykonawcy, pod warunkiem przedłożenia Zamawiającemu, wraz z projektem umowy, oświadczenia Podwykonawcy, iż w przypadku dokonania tych potrąceń kwoty te nie będą stanowiły części przysługującego mu wynagrodzenia, oraz że w przyszłości nie będzie dochodził od Zamawiającego zwrotu tych kwot. </w:t>
      </w:r>
    </w:p>
    <w:p w:rsidR="00000000" w:rsidDel="00000000" w:rsidP="00000000" w:rsidRDefault="00000000" w:rsidRPr="00000000" w14:paraId="000001F4">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Bez zgody Zamawiającego oraz bez przeprowadzenia procedury opisanej powyżej, Wykonawca nie jest uprawniony do umożliwienia Podwykonawcy uczestniczenia w realizacji Przedmiotu Umowy, zaś sprzeczne z niniejszymi postanowieniami postępowanie Wykonawcy poczytywane będzie za nienależyte wykonanie Umowy.</w:t>
      </w:r>
    </w:p>
    <w:p w:rsidR="00000000" w:rsidDel="00000000" w:rsidP="00000000" w:rsidRDefault="00000000" w:rsidRPr="00000000" w14:paraId="000001F5">
      <w:pPr>
        <w:widowControl w:val="0"/>
        <w:numPr>
          <w:ilvl w:val="0"/>
          <w:numId w:val="21"/>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przypadku stwierdzenia naruszeń w zakresie umów o podwykonawstwo, Zamawiający naliczy kary umowne określone w § 18 niniejszej umowy.</w:t>
      </w:r>
    </w:p>
    <w:p w:rsidR="00000000" w:rsidDel="00000000" w:rsidP="00000000" w:rsidRDefault="00000000" w:rsidRPr="00000000" w14:paraId="000001F6">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14 – Wynagrodzenie</w:t>
      </w:r>
      <w:r w:rsidDel="00000000" w:rsidR="00000000" w:rsidRPr="00000000">
        <w:rPr>
          <w:rtl w:val="0"/>
        </w:rPr>
      </w:r>
    </w:p>
    <w:p w:rsidR="00000000" w:rsidDel="00000000" w:rsidP="00000000" w:rsidRDefault="00000000" w:rsidRPr="00000000" w14:paraId="000001F8">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Strony ustalają, iż należne Wykonawcy wynagrodzenie ryczałtowe za wykonanie całości zakresu podstawowego zamówienia, określonego w § 3 Umowy, nie przekroczy kwoty:</w:t>
      </w:r>
    </w:p>
    <w:p w:rsidR="00000000" w:rsidDel="00000000" w:rsidP="00000000" w:rsidRDefault="00000000" w:rsidRPr="00000000" w14:paraId="000001F9">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netto: ………………zł  słownie: ………………………… 00/100 zł</w:t>
      </w:r>
    </w:p>
    <w:p w:rsidR="00000000" w:rsidDel="00000000" w:rsidP="00000000" w:rsidRDefault="00000000" w:rsidRPr="00000000" w14:paraId="000001FA">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podatek VAT 23 % , ………………….  </w:t>
      </w:r>
    </w:p>
    <w:p w:rsidR="00000000" w:rsidDel="00000000" w:rsidP="00000000" w:rsidRDefault="00000000" w:rsidRPr="00000000" w14:paraId="000001FB">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brutto: ………………… zł  słownie: …………….. 00/100 zł</w:t>
      </w:r>
    </w:p>
    <w:p w:rsidR="00000000" w:rsidDel="00000000" w:rsidP="00000000" w:rsidRDefault="00000000" w:rsidRPr="00000000" w14:paraId="000001FC">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tj.  miesięczne wynagrodzenie wyniesie nie więcej niż </w:t>
      </w:r>
    </w:p>
    <w:p w:rsidR="00000000" w:rsidDel="00000000" w:rsidP="00000000" w:rsidRDefault="00000000" w:rsidRPr="00000000" w14:paraId="000001FD">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netto: ………………zł  słownie: ………………………… 00/100 zł</w:t>
      </w:r>
    </w:p>
    <w:p w:rsidR="00000000" w:rsidDel="00000000" w:rsidP="00000000" w:rsidRDefault="00000000" w:rsidRPr="00000000" w14:paraId="000001FE">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podatek VAT 23 % , ………………….  </w:t>
      </w:r>
    </w:p>
    <w:p w:rsidR="00000000" w:rsidDel="00000000" w:rsidP="00000000" w:rsidRDefault="00000000" w:rsidRPr="00000000" w14:paraId="000001FF">
      <w:pPr>
        <w:spacing w:after="6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brutto: ………………… zł  słownie: …………….. 00/100 zł.</w:t>
      </w:r>
    </w:p>
    <w:p w:rsidR="00000000" w:rsidDel="00000000" w:rsidP="00000000" w:rsidRDefault="00000000" w:rsidRPr="00000000" w14:paraId="00000200">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Czynniki cenotwórcze zostały opisane w Formularzu ofertowym stanowiącym załącznik do Umowy.</w:t>
      </w:r>
    </w:p>
    <w:p w:rsidR="00000000" w:rsidDel="00000000" w:rsidP="00000000" w:rsidRDefault="00000000" w:rsidRPr="00000000" w14:paraId="00000201">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Strony zastrzegają, iż pierwsza płatność związana z zarządzaniem i eksploatacją SRM MEVO nastąpi nie wcześniej niż po uruchomieniu całego SRM MEVO (Etap III), pod warunkiem podpisania przez obie Strony protokołu z wdrożenia Etapu III.</w:t>
      </w:r>
    </w:p>
    <w:p w:rsidR="00000000" w:rsidDel="00000000" w:rsidP="00000000" w:rsidRDefault="00000000" w:rsidRPr="00000000" w14:paraId="00000202">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Wynagrodzenie określone w ust. 1. uwzględnia wszystkie koszty poniesione przez Wykonawcę związane z realizacją Przedmiotu Umowy. Wykonawcy nie przysługuje żadna inna forma wynagrodzenia za wyjątkiem wynagrodzenia określonego w ust. 1, prawa do opłat dodatkowych oraz bonusu o którym mowa w § 11 ust. 1.</w:t>
      </w:r>
    </w:p>
    <w:p w:rsidR="00000000" w:rsidDel="00000000" w:rsidP="00000000" w:rsidRDefault="00000000" w:rsidRPr="00000000" w14:paraId="00000203">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Wynagrodzenie będzie płatne w miesięcznych, równych ratach. Każda rata będzie wynosiła 1/72 kwoty wynagrodzenia określonego w ust. 1, począwszy od dnia uruchomienia całego SRM MEVO, na podstawie faktur wystawionych za każdy kolejny okres rozliczeniowy.</w:t>
      </w:r>
    </w:p>
    <w:p w:rsidR="00000000" w:rsidDel="00000000" w:rsidP="00000000" w:rsidRDefault="00000000" w:rsidRPr="00000000" w14:paraId="00000204">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 przypadku, gdy okres świadczenia usługi zarządzania i eksploatacji SRM MEVO przez Wykonawcę nie będzie obejmował pełnego miesiąca kalendarzowego, wynagrodzenie Wykonawcy zostanie obliczone proporcjonalnie do okresu świadczenia usługi.</w:t>
      </w:r>
    </w:p>
    <w:p w:rsidR="00000000" w:rsidDel="00000000" w:rsidP="00000000" w:rsidRDefault="00000000" w:rsidRPr="00000000" w14:paraId="00000205">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Należne wynagrodzenie za zarządzanie i eksploatację SRM MEVO wypłacane będzie z dołu za okresy miesięczne.</w:t>
      </w:r>
    </w:p>
    <w:p w:rsidR="00000000" w:rsidDel="00000000" w:rsidP="00000000" w:rsidRDefault="00000000" w:rsidRPr="00000000" w14:paraId="00000206">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Podstawą stwierdzenia prawidłowości wystawionej faktury za zarządzanie i eksploatację SRM MEVO będzie podpisany przez Zamawiającego protokół, potwierdzający wykonanie Przedmiotu Umowy w danym miesiącu oraz zgodność faktury z aktualnie obowiązującymi przepisami prawa. </w:t>
      </w:r>
    </w:p>
    <w:p w:rsidR="00000000" w:rsidDel="00000000" w:rsidP="00000000" w:rsidRDefault="00000000" w:rsidRPr="00000000" w14:paraId="00000207">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Zgodnie z art. 142 ust. 5 uPzp w przypadku zmiany:</w:t>
      </w:r>
    </w:p>
    <w:p w:rsidR="00000000" w:rsidDel="00000000" w:rsidP="00000000" w:rsidRDefault="00000000" w:rsidRPr="00000000" w14:paraId="00000208">
      <w:pPr>
        <w:numPr>
          <w:ilvl w:val="0"/>
          <w:numId w:val="17"/>
        </w:numPr>
        <w:spacing w:after="6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stawki podatku od towarów i usług;</w:t>
      </w:r>
    </w:p>
    <w:p w:rsidR="00000000" w:rsidDel="00000000" w:rsidP="00000000" w:rsidRDefault="00000000" w:rsidRPr="00000000" w14:paraId="00000209">
      <w:pPr>
        <w:numPr>
          <w:ilvl w:val="0"/>
          <w:numId w:val="17"/>
        </w:numPr>
        <w:spacing w:after="6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wysokości minimalnego wynagrodzenia za pracę ustalonego na podstawie art. 2 ust. 3-5 ustawy z dnia 10 października 2002 r. o minimalnym wynagrodzeniu za pracę;</w:t>
      </w:r>
    </w:p>
    <w:p w:rsidR="00000000" w:rsidDel="00000000" w:rsidP="00000000" w:rsidRDefault="00000000" w:rsidRPr="00000000" w14:paraId="0000020A">
      <w:pPr>
        <w:numPr>
          <w:ilvl w:val="0"/>
          <w:numId w:val="17"/>
        </w:numPr>
        <w:spacing w:after="6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 podlegania ubezpieczeniom społecznym lub ubezpieczeniu zdrowotnemu lub wysokości stawki na ubezpieczenia społeczne lub zdrowotne,</w:t>
      </w:r>
    </w:p>
    <w:p w:rsidR="00000000" w:rsidDel="00000000" w:rsidP="00000000" w:rsidRDefault="00000000" w:rsidRPr="00000000" w14:paraId="0000020B">
      <w:pPr>
        <w:numPr>
          <w:ilvl w:val="0"/>
          <w:numId w:val="17"/>
        </w:numPr>
        <w:spacing w:after="6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 gromadzenia i wysokości wpłat do pracowniczych planów kapitałowych, o których mowa w ustawie z dnia 4 października 2018 r. o pracowniczych planach kapitałowych,</w:t>
      </w:r>
    </w:p>
    <w:p w:rsidR="00000000" w:rsidDel="00000000" w:rsidP="00000000" w:rsidRDefault="00000000" w:rsidRPr="00000000" w14:paraId="0000020C">
      <w:pPr>
        <w:spacing w:after="60"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Wysokość należnego wynagrodzenia Wykonawcy, wskazanego w ust. 1, ulega odpowiedniej zmianie, jeżeli wskazane w pkt a-d zmiany będą miały wpływ na koszty wykonania zamówienia przez Wykonawcę, co Wykonawca musi wykazać stosownymi dowodami. </w:t>
      </w:r>
    </w:p>
    <w:p w:rsidR="00000000" w:rsidDel="00000000" w:rsidP="00000000" w:rsidRDefault="00000000" w:rsidRPr="00000000" w14:paraId="0000020D">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Faktury należy wystawić na Stowarzyszenie Obszar Metropolitalny Gdańsk-Gdynia-Sopot; </w:t>
      </w:r>
      <w:hyperlink r:id="rId9">
        <w:r w:rsidDel="00000000" w:rsidR="00000000" w:rsidRPr="00000000">
          <w:rPr>
            <w:rFonts w:ascii="Calibri" w:cs="Calibri" w:eastAsia="Calibri" w:hAnsi="Calibri"/>
            <w:rtl w:val="0"/>
          </w:rPr>
          <w:t xml:space="preserve">ul. Długi Targ 39</w:t>
        </w:r>
      </w:hyperlink>
      <w:r w:rsidDel="00000000" w:rsidR="00000000" w:rsidRPr="00000000">
        <w:rPr>
          <w:rFonts w:ascii="Calibri" w:cs="Calibri" w:eastAsia="Calibri" w:hAnsi="Calibri"/>
          <w:rtl w:val="0"/>
        </w:rPr>
        <w:t xml:space="preserve">/40; 80-830 Gdańsk; NIP: 583-315-17-48.</w:t>
      </w:r>
    </w:p>
    <w:p w:rsidR="00000000" w:rsidDel="00000000" w:rsidP="00000000" w:rsidRDefault="00000000" w:rsidRPr="00000000" w14:paraId="0000020E">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Płatność będzie realizowana przez Zamawiającego w terminie 21 dni od daty złożenia prawidłowo wystawionej faktury VAT w PLN na niżej podany numer rachunku bankowego: ……………..</w:t>
      </w:r>
    </w:p>
    <w:p w:rsidR="00000000" w:rsidDel="00000000" w:rsidP="00000000" w:rsidRDefault="00000000" w:rsidRPr="00000000" w14:paraId="0000020F">
      <w:pPr>
        <w:numPr>
          <w:ilvl w:val="0"/>
          <w:numId w:val="22"/>
        </w:numPr>
        <w:spacing w:after="6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 przypadku, gdy Wykonawca jest czynnym podatnikiem podatku od towarów i usług (podatku VAT), Zamawiający zastrzega prawo wstrzymania zapłaty, jeżeli wskazany do zapłaty rachunek bankowy nie znajduje się na udostępnionym przez szefa Krajowej Administracji Skarbowej wykazie podmiotów zarejestrowanych jako podatnicy VAT. W takim przypadku Wykonawca zobowiązany jest wskazać pisemnie inny numer rachunku bankowego figurujący we wspomnianym wykazie Ministerstwa Finansów, zaś Wykonawcy nie przysługują odsetki za okres wstrzymania zapłaty wynikający z okoliczności opisanych w niniejszym ustępie.</w:t>
      </w:r>
    </w:p>
    <w:p w:rsidR="00000000" w:rsidDel="00000000" w:rsidP="00000000" w:rsidRDefault="00000000" w:rsidRPr="00000000" w14:paraId="00000210">
      <w:pPr>
        <w:spacing w:after="60" w:line="276" w:lineRule="auto"/>
        <w:ind w:left="6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11">
      <w:pPr>
        <w:keepNext w:val="1"/>
        <w:spacing w:after="6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 15 – Odpowiedzialność Wykonawcy</w:t>
      </w:r>
      <w:r w:rsidDel="00000000" w:rsidR="00000000" w:rsidRPr="00000000">
        <w:rPr>
          <w:rtl w:val="0"/>
        </w:rPr>
      </w:r>
    </w:p>
    <w:p w:rsidR="00000000" w:rsidDel="00000000" w:rsidP="00000000" w:rsidRDefault="00000000" w:rsidRPr="00000000" w14:paraId="00000212">
      <w:pPr>
        <w:numPr>
          <w:ilvl w:val="0"/>
          <w:numId w:val="3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ponosi pełną odpowiedzialność wobec Zamawiającego, Klientów oraz osób trzecich za wszelkie szkody powstałe w związku z realizacją Przedmiotu Umowy, w szczególności Wykonawca ponosi pełną odpowiedzialność za wszelkie szkody poniesione przez Klientów w wyniku wadliwego działania SRM MEVO lub jego poszczególnych elementów.</w:t>
      </w:r>
    </w:p>
    <w:p w:rsidR="00000000" w:rsidDel="00000000" w:rsidP="00000000" w:rsidRDefault="00000000" w:rsidRPr="00000000" w14:paraId="00000213">
      <w:pPr>
        <w:numPr>
          <w:ilvl w:val="0"/>
          <w:numId w:val="3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zawrze Umowę ubezpieczenia od odpowiedzialności cywilnej obejmującą wszelkie szkody powstałe w związku ze świadczeniem usług objętych Umową, z nieredukcyjną sumą ubezpieczenia, na kwotę nie mniejszą niż 1 000 000,00 zł, w tym za szkody wyrządzone Klientom oraz osobom trzecim i za szkody wyrządzone Zamawiającemu na skutek niewykonania lub nienależytego wykonania Umowy, lub wyrządzone z przyczyn leżących po stronie Wykonawcy na terenie powierzonym Wykonawcy dla celów realizacji Umowy (Stacje Postoju). </w:t>
      </w:r>
    </w:p>
    <w:p w:rsidR="00000000" w:rsidDel="00000000" w:rsidP="00000000" w:rsidRDefault="00000000" w:rsidRPr="00000000" w14:paraId="00000214">
      <w:pPr>
        <w:numPr>
          <w:ilvl w:val="0"/>
          <w:numId w:val="3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zobowiązuje się utrzymywać ubezpieczenie przez cały okres obowiązywania Umowy, a najpóźniej w dniu zawarcia Umowy Wykonawca przedstawi Zamawiającemu opłaconą kopię polisy OC, a w przypadku, jeśli polisa ta nie obejmuje pełnego okresu obowiązywania Umowy, Wykonawca będzie przedkładał kolejne przez cały okres trwania Umowy, z chwilą zawarcia kolejnych umów ubezpieczenia, jednak nie później niż na 30 dni przed upływem okresu ważności poprzedniej polisy.</w:t>
      </w:r>
    </w:p>
    <w:p w:rsidR="00000000" w:rsidDel="00000000" w:rsidP="00000000" w:rsidRDefault="00000000" w:rsidRPr="00000000" w14:paraId="00000215">
      <w:pPr>
        <w:numPr>
          <w:ilvl w:val="0"/>
          <w:numId w:val="3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przypadku braku wymaganego ubezpieczenia, w szczególności w przypadku nieprzedłożenia przez Wykonawcę polisy ubezpieczeniowej w terminie, o którym mowa w ust. 3, Zamawiający ma prawo zawrzeć umowę ubezpieczenia w imieniu i na koszt Wykonawcy oraz obciążyć Wykonawcę wszelkimi kosztami z tym związanymi, w tym także, poprzez potrącenie tych kosztów z wynagrodzenia Wykonawcy.</w:t>
      </w:r>
    </w:p>
    <w:p w:rsidR="00000000" w:rsidDel="00000000" w:rsidP="00000000" w:rsidRDefault="00000000" w:rsidRPr="00000000" w14:paraId="00000216">
      <w:pPr>
        <w:numPr>
          <w:ilvl w:val="0"/>
          <w:numId w:val="3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przypadku, gdyby, wobec Zamawiającego, skierowane zostały jakiekolwiek roszczenia osób trzecich powstałe w związku z usługami wykonywanymi przez Wykonawcę, Wykonawca przejmie wszelką odpowiedzialność z tego tytułu i we własnym zakresie zaspokoi takie roszczenia.</w:t>
      </w:r>
    </w:p>
    <w:p w:rsidR="00000000" w:rsidDel="00000000" w:rsidP="00000000" w:rsidRDefault="00000000" w:rsidRPr="00000000" w14:paraId="00000217">
      <w:pPr>
        <w:numPr>
          <w:ilvl w:val="0"/>
          <w:numId w:val="3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przypadku, gdyby, na mocy obowiązujących przepisów prawa, decyzji administracyjnych albo orzeczenia sądu lub innego organu orzekającego, Zamawiający został zobowiązany do zaspokojenia roszczeń lub zapłaty kar administracyjnych powstałych w związku z wykonywaniem przez Wykonawcę usług stanowiących Przedmiot Umowy, Wykonawca niezwłocznie pokryje takie szkody lub zwróci na rzecz Zamawiającego wszelkie kwoty, jakie zostały wypłacone osobom i podmiotom poszkodowanym lub organom władzy publicznej.</w:t>
      </w:r>
    </w:p>
    <w:p w:rsidR="00000000" w:rsidDel="00000000" w:rsidP="00000000" w:rsidRDefault="00000000" w:rsidRPr="00000000" w14:paraId="00000218">
      <w:pPr>
        <w:keepNext w:val="1"/>
        <w:spacing w:after="6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16 – Zabezpieczenie</w:t>
      </w:r>
      <w:r w:rsidDel="00000000" w:rsidR="00000000" w:rsidRPr="00000000">
        <w:rPr>
          <w:rtl w:val="0"/>
        </w:rPr>
      </w:r>
    </w:p>
    <w:p w:rsidR="00000000" w:rsidDel="00000000" w:rsidP="00000000" w:rsidRDefault="00000000" w:rsidRPr="00000000" w14:paraId="0000021A">
      <w:pPr>
        <w:numPr>
          <w:ilvl w:val="0"/>
          <w:numId w:val="9"/>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Strony zgodnie potwierdzają, że, przed podpisaniem Umowy, Wykonawca wniósł zabezpieczenie należytego wykonania Umowy w wysokości 5% ceny całkowitej brutto podanej w ofercie Wykonawcy.</w:t>
      </w:r>
    </w:p>
    <w:p w:rsidR="00000000" w:rsidDel="00000000" w:rsidP="00000000" w:rsidRDefault="00000000" w:rsidRPr="00000000" w14:paraId="0000021B">
      <w:pPr>
        <w:spacing w:after="60" w:line="276" w:lineRule="auto"/>
        <w:jc w:val="both"/>
        <w:rPr>
          <w:rFonts w:ascii="Arial" w:cs="Arial" w:eastAsia="Arial" w:hAnsi="Arial"/>
          <w:sz w:val="22"/>
          <w:szCs w:val="22"/>
        </w:rPr>
      </w:pPr>
      <w:r w:rsidDel="00000000" w:rsidR="00000000" w:rsidRPr="00000000">
        <w:rPr>
          <w:rFonts w:ascii="Calibri" w:cs="Calibri" w:eastAsia="Calibri" w:hAnsi="Calibri"/>
          <w:rtl w:val="0"/>
        </w:rPr>
        <w:t xml:space="preserve">Zamawiający zwróci zabezpieczenie w wysokości 70% w terminie do 30 dni od dnia wykonania zamówienia i  zakończenia usługi. Pozostałe 30% wartości zabezpieczenia zostanie pozostawione na pokrycie ewentualnych roszczeń z tytułu rękojmi za wady. Kwota pozostawionego zabezpieczenia zostanie zwrócona w terminie 15 dni po upływie okresu rękojmi za wady wynikającego z powszechnie obowiązujących przepisów prawa (2 lata od daty zakończenia usługi).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1C">
      <w:pPr>
        <w:numPr>
          <w:ilvl w:val="0"/>
          <w:numId w:val="9"/>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będzie upoważniony do pobrania części lub całości kwoty zabezpieczenia w każdym przypadku, gdy Wykonawca zobowiązany będzie do zapłaty kar umownych i/lub odszkodowań i/lub pokrycia kosztów wynikających z przepisów prawa lub postanowień niniejszej Umowy, w tym § 5 ust. 4 lit h oraz § 5 ust. 5. </w:t>
      </w:r>
    </w:p>
    <w:p w:rsidR="00000000" w:rsidDel="00000000" w:rsidP="00000000" w:rsidRDefault="00000000" w:rsidRPr="00000000" w14:paraId="0000021D">
      <w:pPr>
        <w:numPr>
          <w:ilvl w:val="0"/>
          <w:numId w:val="9"/>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przypadku nienależytego wykonania Przedmiotu Umowy, zabezpieczenie lub jego część niezbędna do pokrycia kosztów usunięcia wad, wraz z odsetkami, może być wykorzystana przez Zamawiającego, na zasadach określonych przepisami prawa oraz Umową, na realizację zgodnego z Umową wykonania tych prac, na co Wykonawca wyraża zgodę.</w:t>
      </w:r>
    </w:p>
    <w:p w:rsidR="00000000" w:rsidDel="00000000" w:rsidP="00000000" w:rsidRDefault="00000000" w:rsidRPr="00000000" w14:paraId="0000021E">
      <w:pPr>
        <w:widowControl w:val="0"/>
        <w:spacing w:after="60" w:line="276"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keepNext w:val="1"/>
        <w:spacing w:after="60" w:line="276" w:lineRule="auto"/>
        <w:jc w:val="center"/>
        <w:rPr>
          <w:rFonts w:ascii="Calibri" w:cs="Calibri" w:eastAsia="Calibri" w:hAnsi="Calibri"/>
        </w:rPr>
      </w:pPr>
      <w:bookmarkStart w:colFirst="0" w:colLast="0" w:name="_heading=h.1ci93xb" w:id="41"/>
      <w:bookmarkEnd w:id="41"/>
      <w:r w:rsidDel="00000000" w:rsidR="00000000" w:rsidRPr="00000000">
        <w:rPr>
          <w:rFonts w:ascii="Calibri" w:cs="Calibri" w:eastAsia="Calibri" w:hAnsi="Calibri"/>
          <w:b w:val="1"/>
          <w:rtl w:val="0"/>
        </w:rPr>
        <w:t xml:space="preserve">§ 17 – Kontrola</w:t>
      </w:r>
      <w:r w:rsidDel="00000000" w:rsidR="00000000" w:rsidRPr="00000000">
        <w:rPr>
          <w:rtl w:val="0"/>
        </w:rPr>
      </w:r>
    </w:p>
    <w:p w:rsidR="00000000" w:rsidDel="00000000" w:rsidP="00000000" w:rsidRDefault="00000000" w:rsidRPr="00000000" w14:paraId="00000220">
      <w:pPr>
        <w:numPr>
          <w:ilvl w:val="0"/>
          <w:numId w:val="16"/>
        </w:numPr>
        <w:spacing w:after="60" w:line="276" w:lineRule="auto"/>
        <w:ind w:left="360" w:hanging="360"/>
        <w:jc w:val="both"/>
        <w:rPr>
          <w:rFonts w:ascii="Calibri" w:cs="Calibri" w:eastAsia="Calibri" w:hAnsi="Calibri"/>
        </w:rPr>
      </w:pPr>
      <w:bookmarkStart w:colFirst="0" w:colLast="0" w:name="_heading=h.3whwml4" w:id="42"/>
      <w:bookmarkEnd w:id="42"/>
      <w:r w:rsidDel="00000000" w:rsidR="00000000" w:rsidRPr="00000000">
        <w:rPr>
          <w:rFonts w:ascii="Calibri" w:cs="Calibri" w:eastAsia="Calibri" w:hAnsi="Calibri"/>
          <w:rtl w:val="0"/>
        </w:rPr>
        <w:t xml:space="preserve">Zamawiający zastrzega sobie prawo do przeprowadzenia kontroli prawidłowego wykonania Przedmiotu Umowy. Wykonawca zobowiązuje się do udostępnienia wszelkich danych niezbędnych, do przeprowadzenia kontroli, w tym dostępu do rzeczywistych danych w Systemie Informatycznym w czasie rzeczywistym w każdym momencie.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1">
      <w:pPr>
        <w:numPr>
          <w:ilvl w:val="0"/>
          <w:numId w:val="1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Kontrola, o której mowa w ust. 1 obejmować może w szczególności sprawdzanie:</w:t>
      </w:r>
    </w:p>
    <w:p w:rsidR="00000000" w:rsidDel="00000000" w:rsidP="00000000" w:rsidRDefault="00000000" w:rsidRPr="00000000" w14:paraId="00000222">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sprawności rowerów, Stacji Postoju, w tym czystości;</w:t>
      </w:r>
    </w:p>
    <w:p w:rsidR="00000000" w:rsidDel="00000000" w:rsidP="00000000" w:rsidRDefault="00000000" w:rsidRPr="00000000" w14:paraId="00000223">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realizacji warunków Umowy, dotyczących poprawnego i zgodnego z wymaganiami Umowy i Koncepcji funkcjonowania SRM MEVO;</w:t>
      </w:r>
    </w:p>
    <w:p w:rsidR="00000000" w:rsidDel="00000000" w:rsidP="00000000" w:rsidRDefault="00000000" w:rsidRPr="00000000" w14:paraId="00000224">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zasadności i sposobu rozpatrywania skarg Klientów na działania Wykonawcy dotyczących zarządzania i eksploatacji SRM MEVO;</w:t>
      </w:r>
    </w:p>
    <w:p w:rsidR="00000000" w:rsidDel="00000000" w:rsidP="00000000" w:rsidRDefault="00000000" w:rsidRPr="00000000" w14:paraId="00000225">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czasu reakcji na zapełnienie Stacji Postoju zgodnie z normami wyznaczonymi w SIWZ;</w:t>
      </w:r>
    </w:p>
    <w:p w:rsidR="00000000" w:rsidDel="00000000" w:rsidP="00000000" w:rsidRDefault="00000000" w:rsidRPr="00000000" w14:paraId="00000226">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czasu reakcji na zgłoszone zdarzenia zgodnie z normami wyznaczonymi w SIWZ;</w:t>
      </w:r>
    </w:p>
    <w:p w:rsidR="00000000" w:rsidDel="00000000" w:rsidP="00000000" w:rsidRDefault="00000000" w:rsidRPr="00000000" w14:paraId="00000227">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liczby dostępnych rowerów i stojaków rowerowych;</w:t>
      </w:r>
    </w:p>
    <w:p w:rsidR="00000000" w:rsidDel="00000000" w:rsidP="00000000" w:rsidRDefault="00000000" w:rsidRPr="00000000" w14:paraId="00000228">
      <w:pPr>
        <w:numPr>
          <w:ilvl w:val="1"/>
          <w:numId w:val="16"/>
        </w:numPr>
        <w:spacing w:after="60" w:line="276" w:lineRule="auto"/>
        <w:ind w:left="720" w:hanging="360"/>
        <w:jc w:val="both"/>
        <w:rPr>
          <w:rFonts w:ascii="Calibri" w:cs="Calibri" w:eastAsia="Calibri" w:hAnsi="Calibri"/>
        </w:rPr>
      </w:pPr>
      <w:bookmarkStart w:colFirst="0" w:colLast="0" w:name="_heading=h.2bn6wsx" w:id="43"/>
      <w:bookmarkEnd w:id="43"/>
      <w:r w:rsidDel="00000000" w:rsidR="00000000" w:rsidRPr="00000000">
        <w:rPr>
          <w:rFonts w:ascii="Calibri" w:cs="Calibri" w:eastAsia="Calibri" w:hAnsi="Calibri"/>
          <w:rtl w:val="0"/>
        </w:rPr>
        <w:t xml:space="preserve">poziomu naładowania baterii w rowerach z napędem wspomaganym elektrycznie, w wartościach procentowych </w:t>
      </w:r>
    </w:p>
    <w:p w:rsidR="00000000" w:rsidDel="00000000" w:rsidP="00000000" w:rsidRDefault="00000000" w:rsidRPr="00000000" w14:paraId="00000229">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prawidłowości działania Centrum Kontaktu;</w:t>
      </w:r>
    </w:p>
    <w:p w:rsidR="00000000" w:rsidDel="00000000" w:rsidP="00000000" w:rsidRDefault="00000000" w:rsidRPr="00000000" w14:paraId="0000022A">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prawidłowości działania Systemu Informatycznego  do obsługi wypożyczeń oraz Systemu Informatycznego do nadzoru i raportowania;</w:t>
      </w:r>
    </w:p>
    <w:p w:rsidR="00000000" w:rsidDel="00000000" w:rsidP="00000000" w:rsidRDefault="00000000" w:rsidRPr="00000000" w14:paraId="0000022B">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prawidłowości działania systemu rozliczeń;</w:t>
      </w:r>
    </w:p>
    <w:p w:rsidR="00000000" w:rsidDel="00000000" w:rsidP="00000000" w:rsidRDefault="00000000" w:rsidRPr="00000000" w14:paraId="0000022C">
      <w:pPr>
        <w:numPr>
          <w:ilvl w:val="1"/>
          <w:numId w:val="16"/>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stosowania wewnętrznych procedur i polityk w sprawie prewencji dot. koronawirusa Covid 19, a w szczególności procedur dezynfekcji floty rowerowej i infrastruktury SRM MEVO;</w:t>
      </w:r>
      <w:r w:rsidDel="00000000" w:rsidR="00000000" w:rsidRPr="00000000">
        <w:rPr>
          <w:rtl w:val="0"/>
        </w:rPr>
      </w:r>
    </w:p>
    <w:p w:rsidR="00000000" w:rsidDel="00000000" w:rsidP="00000000" w:rsidRDefault="00000000" w:rsidRPr="00000000" w14:paraId="0000022D">
      <w:pPr>
        <w:numPr>
          <w:ilvl w:val="1"/>
          <w:numId w:val="16"/>
        </w:numPr>
        <w:spacing w:after="60" w:line="276"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funkcjonowania minimalnej liczby punktów serwisowych;</w:t>
      </w:r>
    </w:p>
    <w:p w:rsidR="00000000" w:rsidDel="00000000" w:rsidP="00000000" w:rsidRDefault="00000000" w:rsidRPr="00000000" w14:paraId="0000022E">
      <w:pPr>
        <w:numPr>
          <w:ilvl w:val="1"/>
          <w:numId w:val="16"/>
        </w:numPr>
        <w:spacing w:after="60" w:line="276"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prawidłowości przetwarzania i ochrony Bazy Danych MEVO.</w:t>
      </w:r>
    </w:p>
    <w:p w:rsidR="00000000" w:rsidDel="00000000" w:rsidP="00000000" w:rsidRDefault="00000000" w:rsidRPr="00000000" w14:paraId="0000022F">
      <w:pPr>
        <w:spacing w:after="60" w:line="276" w:lineRule="auto"/>
        <w:ind w:left="283" w:hanging="283"/>
        <w:jc w:val="both"/>
        <w:rPr>
          <w:rFonts w:ascii="Calibri" w:cs="Calibri" w:eastAsia="Calibri" w:hAnsi="Calibri"/>
        </w:rPr>
      </w:pPr>
      <w:r w:rsidDel="00000000" w:rsidR="00000000" w:rsidRPr="00000000">
        <w:rPr>
          <w:rFonts w:ascii="Calibri" w:cs="Calibri" w:eastAsia="Calibri" w:hAnsi="Calibri"/>
          <w:rtl w:val="0"/>
        </w:rPr>
        <w:t xml:space="preserve">3. W przypadku stwierdzenia niespełnienia przez Wykonawcę wymagań Umowy, Zamawiający powiadomi Wykonawcę o stwierdzonych nieprawidłowościach, a udokumentowane nieprawidłowości będą stanowić podstawę do naliczenia kar umownych według zasad określonych w § 18. </w:t>
      </w:r>
    </w:p>
    <w:p w:rsidR="00000000" w:rsidDel="00000000" w:rsidP="00000000" w:rsidRDefault="00000000" w:rsidRPr="00000000" w14:paraId="00000230">
      <w:pPr>
        <w:widowControl w:val="0"/>
        <w:spacing w:after="60" w:line="276" w:lineRule="auto"/>
        <w:ind w:left="720" w:firstLine="0"/>
        <w:jc w:val="both"/>
        <w:rPr>
          <w:rFonts w:ascii="Calibri" w:cs="Calibri" w:eastAsia="Calibri" w:hAnsi="Calibri"/>
        </w:rPr>
      </w:pPr>
      <w:bookmarkStart w:colFirst="0" w:colLast="0" w:name="_heading=h.qsh70q" w:id="44"/>
      <w:bookmarkEnd w:id="44"/>
      <w:r w:rsidDel="00000000" w:rsidR="00000000" w:rsidRPr="00000000">
        <w:rPr>
          <w:rtl w:val="0"/>
        </w:rPr>
      </w:r>
    </w:p>
    <w:p w:rsidR="00000000" w:rsidDel="00000000" w:rsidP="00000000" w:rsidRDefault="00000000" w:rsidRPr="00000000" w14:paraId="00000231">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18 – Kary Umowne</w:t>
      </w:r>
      <w:r w:rsidDel="00000000" w:rsidR="00000000" w:rsidRPr="00000000">
        <w:rPr>
          <w:rtl w:val="0"/>
        </w:rPr>
      </w:r>
    </w:p>
    <w:p w:rsidR="00000000" w:rsidDel="00000000" w:rsidP="00000000" w:rsidRDefault="00000000" w:rsidRPr="00000000" w14:paraId="00000232">
      <w:pPr>
        <w:numPr>
          <w:ilvl w:val="0"/>
          <w:numId w:val="50"/>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przypadku stwierdzenia uchybień w wykonywaniu Przedmiotu Umowy Zamawiający ma prawo do naliczenia kar za:</w:t>
      </w:r>
    </w:p>
    <w:p w:rsidR="00000000" w:rsidDel="00000000" w:rsidP="00000000" w:rsidRDefault="00000000" w:rsidRPr="00000000" w14:paraId="00000233">
      <w:pPr>
        <w:numPr>
          <w:ilvl w:val="0"/>
          <w:numId w:val="34"/>
        </w:numPr>
        <w:spacing w:after="60" w:line="276" w:lineRule="auto"/>
        <w:ind w:left="720" w:hanging="360"/>
        <w:jc w:val="both"/>
        <w:rPr>
          <w:rFonts w:ascii="Calibri" w:cs="Calibri" w:eastAsia="Calibri" w:hAnsi="Calibri"/>
        </w:rPr>
      </w:pPr>
      <w:bookmarkStart w:colFirst="0" w:colLast="0" w:name="_heading=h.vx1227" w:id="45"/>
      <w:bookmarkEnd w:id="45"/>
      <w:r w:rsidDel="00000000" w:rsidR="00000000" w:rsidRPr="00000000">
        <w:rPr>
          <w:rFonts w:ascii="Calibri" w:cs="Calibri" w:eastAsia="Calibri" w:hAnsi="Calibri"/>
          <w:rtl w:val="0"/>
        </w:rPr>
        <w:t xml:space="preserve">dopuszczenie do jednej z sytuacji opisanych w § 8 ust. 6, 100 (sto) złotych za każdy rower różnicy od wymaganej liczby, za każdy stwierdzony przypadek, nie więcej niż rocznie 10.000.000 (dziesięć milionów) złotych, przy czym przez pierwsze 6 miesięcy funkcjonowania systemu (po wdrożeniu Etapu III), kary z tytułu powstania sytuacji opisanych w § 8 ust. 6 pkt 3 i 4 będą wynosiły 50 (pięćdziesiąt) złotych za każdy rower, za każdy stwierdzony przypadek. W przypadku gdy dany stan faktyczny wyczerpuje przesłanki więcej niż jednej z sytuacji opisanych w § 8 ust. 6 kara naliczana, będzie odrębnie za dopuszczenie do każdej z sytuacji;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4">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brak możliwości wypożyczenia Roweru warunkowo dostępnego, 50 (pięćdziesiąt) złotych za każdy rower, za każdy stwierdzony przypadek, nie więcej niż 5.000.000 (pięć milionów) złotych rocznie; </w:t>
      </w:r>
    </w:p>
    <w:p w:rsidR="00000000" w:rsidDel="00000000" w:rsidP="00000000" w:rsidRDefault="00000000" w:rsidRPr="00000000" w14:paraId="00000235">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naprawy, bądź wymiany roweru z Usterką Nieistotną na rower bez usterek  w terminie 48 godzin od momentu zgłoszenia usterki nieistotnej 100 (sto) złotych za każdy rower za każdą pełną dobę zwłoki, nie więcej niż łącznie 10.000.000 (dziesięć milionów) złotych;</w:t>
      </w:r>
    </w:p>
    <w:p w:rsidR="00000000" w:rsidDel="00000000" w:rsidP="00000000" w:rsidRDefault="00000000" w:rsidRPr="00000000" w14:paraId="00000236">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brak naprawy elementu Stacji Postoju (Totemu, stojaka rowerowego) w terminie 48 godzin od momentu zgłoszenia 300 (trzysta) złotych za każdy element, za każdą rozpoczętą dobę zwłoki, nie więcej niż łącznie 5.000.000 (pięć milionów) złotych;</w:t>
      </w:r>
    </w:p>
    <w:p w:rsidR="00000000" w:rsidDel="00000000" w:rsidP="00000000" w:rsidRDefault="00000000" w:rsidRPr="00000000" w14:paraId="00000237">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każdy element SRM MEVO z usterką estetyczną tj. nieutrzymany w należytym stanie czystości i estetyki tj. nieusunięcie z elementów SRM  MEVO np. zabrudzeń, naklejek, graffiti itp. w terminie 72 godzin od otrzymania zgłoszenia - 500,00 zł (słownie: pięćset złotych) za każdą rozpoczętą dobę zwłoki do momentu przywrócenia należytego stanu czystości i estetyki. Łączna kara dotycząca jednego przypadku nie może przekroczyć 5.000,00 (pięć tysięcy) złotych; </w:t>
      </w:r>
    </w:p>
    <w:p w:rsidR="00000000" w:rsidDel="00000000" w:rsidP="00000000" w:rsidRDefault="00000000" w:rsidRPr="00000000" w14:paraId="00000238">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dostępność Serwisu Internetowego niższą niż 99%, liczoną w godzinach w skali miesiąca – 500,00 (pięćset) złotych za każdą pełną godzinę niefunkcjonowania, jednak nie więcej niż 500.000 (pięćset tysięcy) złotych; </w:t>
      </w:r>
    </w:p>
    <w:p w:rsidR="00000000" w:rsidDel="00000000" w:rsidP="00000000" w:rsidRDefault="00000000" w:rsidRPr="00000000" w14:paraId="00000239">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dostępność Aplikacji niższą niż 99%, liczoną w godzinach w skali miesiąca – 2.500,00 (dwa tysiące pięćset) złotych za każdą pełną godzinę niefunkcjonowania, jednak nie więcej niż 1.000.000 (jeden milion) złotych;</w:t>
      </w:r>
    </w:p>
    <w:p w:rsidR="00000000" w:rsidDel="00000000" w:rsidP="00000000" w:rsidRDefault="00000000" w:rsidRPr="00000000" w14:paraId="0000023A">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dostępność systemu monitorującego niższą niż 99%, liczoną w godzinach w skali miesiąca  – 1.000,00 (tysiąc) złotych za każdą pełną godzinę niefunkcjonowania, jednak nie więcej niż 1.000.000 (milion) złotych;</w:t>
      </w:r>
    </w:p>
    <w:p w:rsidR="00000000" w:rsidDel="00000000" w:rsidP="00000000" w:rsidRDefault="00000000" w:rsidRPr="00000000" w14:paraId="0000023B">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działanie Centrum Kontaktu niezgodne z normami wyznaczonymi w OPZ - 500,00 (pięćset) złotych za każdy stwierdzony przypadek, nie więcej niż łącznie 5.000.000 (pięć milionów) złotych;</w:t>
      </w:r>
    </w:p>
    <w:p w:rsidR="00000000" w:rsidDel="00000000" w:rsidP="00000000" w:rsidRDefault="00000000" w:rsidRPr="00000000" w14:paraId="0000023C">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udostępnianie nieprawdziwych/błędnych danych w Systemie Informatycznym, z wyłączeniem Systemu Informatycznego do nadzoru i raportowania SRM MEVO – 1.000 (tysiąc złotych) za każdy stwierdzony przypadek, nie więcej niż łącznie 5.000.000 (pięć milionów) złotych;</w:t>
      </w:r>
    </w:p>
    <w:p w:rsidR="00000000" w:rsidDel="00000000" w:rsidP="00000000" w:rsidRDefault="00000000" w:rsidRPr="00000000" w14:paraId="0000023D">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udostępnianie nieprawdziwych/błędnych danych w Systemie Informatycznym do nadzoru i raportowania SRM MEVO – 3.000 (trzy tysiące złotych) za każdy stwierdzony przypadek, nie więcej niż łącznie 5.000.000 (pięć milionów) złotych;</w:t>
      </w:r>
    </w:p>
    <w:p w:rsidR="00000000" w:rsidDel="00000000" w:rsidP="00000000" w:rsidRDefault="00000000" w:rsidRPr="00000000" w14:paraId="0000023E">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nieprzestrzeganie zakazu umieszczania reklam na infrastrukturze SRM MEVO w tym w Aplikacji, Serwisie Internetowym określonym w  § 10 – 1.000,00 (tysiąc) złotych za każdy stwierdzony przypadek jednostkowy za każdy pełny dzień, nie więcej niż łącznie 5.000.000 (pięć milionów) złotych;</w:t>
      </w:r>
    </w:p>
    <w:p w:rsidR="00000000" w:rsidDel="00000000" w:rsidP="00000000" w:rsidRDefault="00000000" w:rsidRPr="00000000" w14:paraId="0000023F">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tytułu Niefunkcjonowania SRM MEVO z przyczyn leżących po stronie Wykonawcy – w wysokości 0,1% całkowitego wynagrodzenia brutto określonego w § 14 ust. 1 za każdy pełny dzień, w którym wystąpiła taka nieprawidłowość, nie mniej niż 100.000 (sto tysięcy) złotych, jednak nie więcej niż 10.000.000 (dziesięć milionów) złotych;</w:t>
      </w:r>
    </w:p>
    <w:p w:rsidR="00000000" w:rsidDel="00000000" w:rsidP="00000000" w:rsidRDefault="00000000" w:rsidRPr="00000000" w14:paraId="00000240">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wykorzystywanie w SRM MEVO elementów niespełniających wymogów określonych w Umowie lub SIWZ lub w Koncepcji funkcjonowania – 500,00 (pięćset) złotych za każdy stwierdzony przypadek, za każdy pełny dzień, w którym stwierdzono taką sytuację. Łączna kara dotycząca jednego przypadku nie może przekroczyć 5.000,00 (pięć tysięcy) złotych, jednak nie więcej niż łącznie za wszystkie przypadki 10.000.000 (dziesięć milionów) złotych;</w:t>
      </w:r>
    </w:p>
    <w:p w:rsidR="00000000" w:rsidDel="00000000" w:rsidP="00000000" w:rsidRDefault="00000000" w:rsidRPr="00000000" w14:paraId="00000241">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funkcjonowanie mniejszej niż zawarta w Koncepcji funkcjonowania liczby punktów ładowania - 1.000 (tysiąc) złotych za każdy pełny dzień, za każdy przypadek, to jest jeden niefunkcjonujący punkt, jednak nie więcej niż 5.000.000 (pięć milionów) złotych;</w:t>
      </w:r>
    </w:p>
    <w:p w:rsidR="00000000" w:rsidDel="00000000" w:rsidP="00000000" w:rsidRDefault="00000000" w:rsidRPr="00000000" w14:paraId="00000242">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obsługiwanie Rowerami cargo mniejszej niż zawarta w Koncepcji funkcjonowania liczby Stacji Postoju - 500 (pięćset) złotych za każdy stwierdzony przypadek, jednak nie więcej niż 1.000.000 (jeden milion) złotych;</w:t>
      </w:r>
    </w:p>
    <w:p w:rsidR="00000000" w:rsidDel="00000000" w:rsidP="00000000" w:rsidRDefault="00000000" w:rsidRPr="00000000" w14:paraId="00000243">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wykorzystanie w bieżącej obsłudze SRM MEVO pojazdów silnikowych niespełniających wymagań normy emisji min. Euro 6 lub za wykorzystanie w bieżącej obsłudze SRM MEVO pojazdów silnikowych zeroemisyjnych w niższym udziale niż odsetek wskazany w Koncepcji funkcjonowania – 1.000 (tysiąc) złotych za każdy przypadek dziennie, jednak nie więcej niż 1.000.000 (jeden milion) złotych;</w:t>
      </w:r>
    </w:p>
    <w:p w:rsidR="00000000" w:rsidDel="00000000" w:rsidP="00000000" w:rsidRDefault="00000000" w:rsidRPr="00000000" w14:paraId="00000244">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odsetek osób, o których mowa w art. 29 ust. 4 pkt 1 - 4 uPzp, w przeliczeniu na pełen etat,  zatrudnionych przy realizacji zamówienia, niższy niż 5% – 1.000 (tysiąc) złotych za każdy przypadek w każdym miesiącu, jednak nie więcej niż 1.000.000 (jeden milion) złotych;</w:t>
      </w:r>
    </w:p>
    <w:p w:rsidR="00000000" w:rsidDel="00000000" w:rsidP="00000000" w:rsidRDefault="00000000" w:rsidRPr="00000000" w14:paraId="00000245">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brak uruchomienia SRM MEVO (wdrożenie Etapu III) w terminie oznaczonym w Umowie, za każdy kolejny rozpoczęty dzień zwłoki – 15.000,00 (piętnaście tysięcy) złotych, jednak nie więcej niż 2.250.000 (dwa miliony dwieście pięćdziesiąt tysięcy złotych). W przypadku braku uruchomienia SRM MEVO i naliczenia przez Zamawiającego kary, o której mowa w niniejszym punkcie, Zamawiającemu nie jest należna kara wskazana w pkt 13;</w:t>
      </w:r>
    </w:p>
    <w:p w:rsidR="00000000" w:rsidDel="00000000" w:rsidP="00000000" w:rsidRDefault="00000000" w:rsidRPr="00000000" w14:paraId="00000246">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brak przesłania raportów, o których mowa w § 11 ust. 8 Umowy oraz w pkt. 14 OPZ, w kwocie 100,00 (sto) złotych za każdy pełny dzień zwłoki, w zakresie przesłania każdego z raportów z osobna, jednak nie więcej niż 50.000 (pięćdziesiąt tysięcy) złotych w zakresie danego raportu;</w:t>
      </w:r>
    </w:p>
    <w:p w:rsidR="00000000" w:rsidDel="00000000" w:rsidP="00000000" w:rsidRDefault="00000000" w:rsidRPr="00000000" w14:paraId="00000247">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brak wykonania integracji z PZUM, opisanej w SIWZ w terminie wskazanym przez Zamawiającego, w wysokości 1.000 (tysiąc) złotych za każdy dzień zwłoki, jednak nie więcej niż 5.000.000 (pięć milionów) złotych; </w:t>
      </w:r>
    </w:p>
    <w:p w:rsidR="00000000" w:rsidDel="00000000" w:rsidP="00000000" w:rsidRDefault="00000000" w:rsidRPr="00000000" w14:paraId="00000248">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niewykonywanie kluczowych części zamówienia wymienionych w § 3 ust. 13 osobiście przez Wykonawcę 10.000 (dziesięć tysięcy) złotych za każdy stwierdzony przypadek dziennie, jednak nie więcej niż 5.000.000 (pięć milionów) złotych;</w:t>
      </w:r>
    </w:p>
    <w:p w:rsidR="00000000" w:rsidDel="00000000" w:rsidP="00000000" w:rsidRDefault="00000000" w:rsidRPr="00000000" w14:paraId="00000249">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powierzenie części zamówienia Podwykonawcom, bez uzyskania pisemnej zgody Zamawiającego, 10.000 (dziesięć tysięcy) złotych za każdy stwierdzony przypadek dziennie, jednak nie więcej niż 5.000.000 (pięć milionów) złotych;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A">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nieprzedłożenie w terminie określonym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13 ust. 6 poświadczonej za zgodność z oryginałem kopii umowy o podwykonawstwo, 500,00 (pięćset) złotych za każdy stwierdzony przypadek, jednak nie więcej niż 5000  (pięć tysięcy) złotych;</w:t>
      </w:r>
    </w:p>
    <w:p w:rsidR="00000000" w:rsidDel="00000000" w:rsidP="00000000" w:rsidRDefault="00000000" w:rsidRPr="00000000" w14:paraId="0000024B">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niewykonanie obowiązku niezwłocznego poinformowania pisemnie Zamawiającego o wszelkich zmianach w zakresie rowerów funkcjonujących w ramach SRM MEVO, to jest o fakcie wyłączenia danego roweru z SRM MEVO oraz o fakcie włączenia danego roweru do SRM MEVO, zgodnie z opisem w § 6 ust. 10, 500,00 (pięćset) złotych za każdy stwierdzony przypadek, nie więcej niż łącznie 5.000.000 (pięć milionów) złotych;</w:t>
      </w:r>
    </w:p>
    <w:p w:rsidR="00000000" w:rsidDel="00000000" w:rsidP="00000000" w:rsidRDefault="00000000" w:rsidRPr="00000000" w14:paraId="0000024C">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brak funkcjonowania punktów serwisowych w liczbie wskazanej w Koncepcji funkcjonowania, 500 (pięćset) złotych za każdy rozpoczęty dzień braku funkcjonowania wymaganych punktów serwisowych, nie więcej niż 1.000.000 (jeden milion) złotych łącznie.</w:t>
      </w:r>
    </w:p>
    <w:p w:rsidR="00000000" w:rsidDel="00000000" w:rsidP="00000000" w:rsidRDefault="00000000" w:rsidRPr="00000000" w14:paraId="0000024D">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oddelegowania do wykonywania czynności wskazanych w § 3 ust. 12 umowy osób niezatrudnionych na podstawie umowy, o której mowa w tymże ustępie, Wykonawca zapłaci karę umowną w wysokości 2 500,00 zł (słownie: dwa tysiące pięćset 00/100) za każde takie naruszenie (kara może być nakładana wielokrotnie i dotyczyć tej samej osoby, jeżeli Zamawiający podczas danej kontroli stwierdzi, że nie jest ona zatrudniona na umowę o pracę), nie więcej niż 1.000.000 (jeden milion) złotych łącznie;</w:t>
      </w:r>
    </w:p>
    <w:p w:rsidR="00000000" w:rsidDel="00000000" w:rsidP="00000000" w:rsidRDefault="00000000" w:rsidRPr="00000000" w14:paraId="0000024E">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niewykonanie we wskazanym terminie świadczeń objętych prawem opcji – 500 (pięćset) złotych za każdy rozpoczęty dzień zwłoki, nie więcej niż 1.000.000 (jeden milion) złotych łącznie;</w:t>
      </w:r>
    </w:p>
    <w:p w:rsidR="00000000" w:rsidDel="00000000" w:rsidP="00000000" w:rsidRDefault="00000000" w:rsidRPr="00000000" w14:paraId="0000024F">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w:t>
      </w:r>
      <w:r w:rsidDel="00000000" w:rsidR="00000000" w:rsidRPr="00000000">
        <w:rPr>
          <w:rFonts w:ascii="Calibri" w:cs="Calibri" w:eastAsia="Calibri" w:hAnsi="Calibri"/>
          <w:highlight w:val="white"/>
          <w:rtl w:val="0"/>
        </w:rPr>
        <w:t xml:space="preserve">niestosowanie procedur i polityk w sprawie prewencji dot. koronawirusa Covid 19, a w szczególności procedur dezynfekcji floty rowerowej i infrastruktury SRM - </w:t>
      </w:r>
      <w:r w:rsidDel="00000000" w:rsidR="00000000" w:rsidRPr="00000000">
        <w:rPr>
          <w:rFonts w:ascii="Calibri" w:cs="Calibri" w:eastAsia="Calibri" w:hAnsi="Calibri"/>
          <w:rtl w:val="0"/>
        </w:rPr>
        <w:t xml:space="preserve">Wykonawca zapłaci karę umowną w wysokości 10 000,00 zł (słownie: dziesięć tysięcy złotych  00/100) za każde takie naruszenie (kara może być nakładana wielokrotnie);</w:t>
      </w:r>
    </w:p>
    <w:p w:rsidR="00000000" w:rsidDel="00000000" w:rsidP="00000000" w:rsidRDefault="00000000" w:rsidRPr="00000000" w14:paraId="00000250">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zwłokę w odbiorze rowerów udostępnionych Wykonawcy przez Zamawiającego w terminie określonym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3 ust. 7, w wysokości 10.000 zł (słownie: dziesięć tysięcy złotych 00/100) za każdy dzień zwłoki, nie więcej niż 1 000 000 (milion) złotych</w:t>
      </w:r>
    </w:p>
    <w:p w:rsidR="00000000" w:rsidDel="00000000" w:rsidP="00000000" w:rsidRDefault="00000000" w:rsidRPr="00000000" w14:paraId="00000251">
      <w:pPr>
        <w:numPr>
          <w:ilvl w:val="0"/>
          <w:numId w:val="3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pozostałych przypadkach – 1% miesięcznego wynagrodzenia brutto, za każdy inny niż opisany w pkt 1 – 31 stwierdzony przypadek niewykonania lub nienależytego wykonania Przedmiotu Umowy, jednak nie mniej niż 100 (sto) złotych oraz nie więcej  niż 1.000.000 (jeden milion) złotych.</w:t>
      </w:r>
    </w:p>
    <w:p w:rsidR="00000000" w:rsidDel="00000000" w:rsidP="00000000" w:rsidRDefault="00000000" w:rsidRPr="00000000" w14:paraId="00000252">
      <w:pPr>
        <w:numPr>
          <w:ilvl w:val="0"/>
          <w:numId w:val="57"/>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 rozwiązanie Umowy z przyczyn leżących po stronie Wykonawcy, Wykonawca zobowiązany będzie do zapłaty na rzecz Zamawiającego kary umownej w wysokości 20% wynagrodzenia brutto Wykonawcy za wykonanie całości zakresu podstawowego zamówienia określonego w § 14 ust. 1 Umowy. W przypadku skorzystania przez Zamawiającego z prawa opcji, kara umowna za rozwiązanie Umowy z przyczyn leżących po stronie Wykonawcy, do zapłaty której na rzecz Zamawiającego zobowiązany będzie Wykonawca, wynosić będzie 20% wynagrodzenia brutto Wykonawcy za wykonanie całości zakresu podstawowego zamówienia określonego w § 14 ust. 1 Umowy oraz za wykonanie zakresu objętego prawem opcji.</w:t>
      </w:r>
    </w:p>
    <w:p w:rsidR="00000000" w:rsidDel="00000000" w:rsidP="00000000" w:rsidRDefault="00000000" w:rsidRPr="00000000" w14:paraId="00000253">
      <w:pPr>
        <w:numPr>
          <w:ilvl w:val="0"/>
          <w:numId w:val="57"/>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Wykonawcy przysługuje prawo wniesienia uwag / wyjaśnień do poszczególnych przypadków naliczenia kary w terminie 7 dni od daty otrzymania informacji o naliczeniu przez Zamawiającego kary.</w:t>
      </w:r>
    </w:p>
    <w:p w:rsidR="00000000" w:rsidDel="00000000" w:rsidP="00000000" w:rsidRDefault="00000000" w:rsidRPr="00000000" w14:paraId="00000254">
      <w:pPr>
        <w:numPr>
          <w:ilvl w:val="0"/>
          <w:numId w:val="57"/>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do dochodzenia odszkodowania uzupełniającego na zasadach ogólnych kodeksu cywilnego, przenoszącego wysokość zastrzeżonych kar umownych. Prawo do naliczenia kary na jednej podstawie nie wyklucza możliwości naliczenia kary z innych podstaw, o ile jedno zdarzenie wypełnia więcej niż jedno naruszenie Umowy (chyba, że w Umowie wprost wskazano inaczej).</w:t>
      </w:r>
    </w:p>
    <w:p w:rsidR="00000000" w:rsidDel="00000000" w:rsidP="00000000" w:rsidRDefault="00000000" w:rsidRPr="00000000" w14:paraId="00000255">
      <w:pPr>
        <w:numPr>
          <w:ilvl w:val="0"/>
          <w:numId w:val="57"/>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Niezależnie od przyczyn, jakie zgodnie z przepisami prawa uzasadniają możliwość rozwiązania Umowy, Zamawiający uprawniony będzie do natychmiastowego rozwiązania Umowy w przypadku gdy: </w:t>
      </w:r>
    </w:p>
    <w:p w:rsidR="00000000" w:rsidDel="00000000" w:rsidP="00000000" w:rsidRDefault="00000000" w:rsidRPr="00000000" w14:paraId="00000256">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bez uzyskania pisemnej zgody Zamawiającego, zatrudni Podwykonawców przy realizacji Przedmiotu Umowy lub powierzy Podwykonawcom wykonanie kluczowych części Zamówienia, o których mowa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3 ust. 13;</w:t>
      </w:r>
    </w:p>
    <w:p w:rsidR="00000000" w:rsidDel="00000000" w:rsidP="00000000" w:rsidRDefault="00000000" w:rsidRPr="00000000" w14:paraId="00000257">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bez uzasadnionego powodu, wstrzyma wykonywanie Przedmiotu Umowy i nie podejmie wykonywania Przedmiotu Umowy w terminie 14 dni po otrzymaniu od Zamawiającego pisemnego żądania dotyczącego kontynuowania wykonywania Przedmiotu Umowy;</w:t>
      </w:r>
    </w:p>
    <w:p w:rsidR="00000000" w:rsidDel="00000000" w:rsidP="00000000" w:rsidRDefault="00000000" w:rsidRPr="00000000" w14:paraId="00000258">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 najmniej trzykrotnie w Okresie rozliczeniowym, zostanie stwierdzone Niefunkcjonowanie SRM MEVO;</w:t>
      </w:r>
    </w:p>
    <w:p w:rsidR="00000000" w:rsidDel="00000000" w:rsidP="00000000" w:rsidRDefault="00000000" w:rsidRPr="00000000" w14:paraId="00000259">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co najmniej trzykrotnie w danym Okresie rozliczeniowym, nie wykona zobowiązania do przekazania całości wykorzystanych opłat w terminie określonym w § 11 ust. 5 i 6 Umowy;</w:t>
      </w:r>
    </w:p>
    <w:p w:rsidR="00000000" w:rsidDel="00000000" w:rsidP="00000000" w:rsidRDefault="00000000" w:rsidRPr="00000000" w14:paraId="0000025A">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przyczyn leżących po stronie Wykonawcy nie zostanie odebrany Etap I, w terminie 14 miesięcy od dnia zawarcia Umowy;</w:t>
      </w:r>
    </w:p>
    <w:p w:rsidR="00000000" w:rsidDel="00000000" w:rsidP="00000000" w:rsidRDefault="00000000" w:rsidRPr="00000000" w14:paraId="0000025B">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nie wdroży Etapu III w terminie 17 miesięcy od dnia zawarcia Umowy;</w:t>
      </w:r>
    </w:p>
    <w:p w:rsidR="00000000" w:rsidDel="00000000" w:rsidP="00000000" w:rsidRDefault="00000000" w:rsidRPr="00000000" w14:paraId="0000025C">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znajduje się w stanie zagrażającym niewypłacalnością lub przechodzi w stan likwidacji w celach innych niż przekształcenie przedsiębiorstwa lub połączenie się z innym przedsiębiorstwem, w stopniu uniemożliwiającym realizację Przedmiotu Umowy; </w:t>
      </w:r>
    </w:p>
    <w:p w:rsidR="00000000" w:rsidDel="00000000" w:rsidP="00000000" w:rsidRDefault="00000000" w:rsidRPr="00000000" w14:paraId="0000025D">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zostanie wydany nakaz zajęcia majątku Wykonawcy lub gdy zostanie wszczęte postępowanie egzekucyjne w stopniu uniemożliwiającym realizację Przedmiotu Umowy;</w:t>
      </w:r>
    </w:p>
    <w:p w:rsidR="00000000" w:rsidDel="00000000" w:rsidP="00000000" w:rsidRDefault="00000000" w:rsidRPr="00000000" w14:paraId="0000025E">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rażąco naruszy swoje obowiązki z zakresu przetwarzania i ochrony danych osobowych, w szczególności odmówi zawarcia z Zamawiającym umowy o współadministrowanie, o której mowa w </w:t>
      </w:r>
      <w:r w:rsidDel="00000000" w:rsidR="00000000" w:rsidRPr="00000000">
        <w:rPr>
          <w:rFonts w:ascii="Trebuchet MS" w:cs="Trebuchet MS" w:eastAsia="Trebuchet MS" w:hAnsi="Trebuchet MS"/>
          <w:rtl w:val="0"/>
        </w:rPr>
        <w:t xml:space="preserve">§</w:t>
      </w:r>
      <w:r w:rsidDel="00000000" w:rsidR="00000000" w:rsidRPr="00000000">
        <w:rPr>
          <w:rFonts w:ascii="Calibri" w:cs="Calibri" w:eastAsia="Calibri" w:hAnsi="Calibri"/>
          <w:rtl w:val="0"/>
        </w:rPr>
        <w:t xml:space="preserve"> 12 ust. 3.</w:t>
      </w:r>
    </w:p>
    <w:p w:rsidR="00000000" w:rsidDel="00000000" w:rsidP="00000000" w:rsidRDefault="00000000" w:rsidRPr="00000000" w14:paraId="0000025F">
      <w:pPr>
        <w:numPr>
          <w:ilvl w:val="0"/>
          <w:numId w:val="28"/>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rażąco narusza swoje obowiązki przewidziane Umową i nie zaprzestanie takich naruszeń pomimo wezwania go do ich zaprzestania przez Zamawiającego i wyznaczenia Wykonawcy w tym celu dodatkowego, co najmniej 14-dniowego terminu. </w:t>
      </w:r>
    </w:p>
    <w:p w:rsidR="00000000" w:rsidDel="00000000" w:rsidP="00000000" w:rsidRDefault="00000000" w:rsidRPr="00000000" w14:paraId="00000260">
      <w:pPr>
        <w:spacing w:after="60"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Zamawiający będzie uprawniony do złożenia oświadczenia o rozwiązaniu Umowy w przypadkach, o których mowa w niniejszym ustępie, w terminie 90 dni od daty ziszczenia się przesłanki rozwiązania Umowy.</w:t>
      </w:r>
    </w:p>
    <w:p w:rsidR="00000000" w:rsidDel="00000000" w:rsidP="00000000" w:rsidRDefault="00000000" w:rsidRPr="00000000" w14:paraId="00000261">
      <w:pPr>
        <w:numPr>
          <w:ilvl w:val="0"/>
          <w:numId w:val="57"/>
        </w:numPr>
        <w:spacing w:after="60" w:line="276" w:lineRule="auto"/>
        <w:ind w:left="360" w:hanging="360"/>
        <w:jc w:val="both"/>
        <w:rPr/>
      </w:pPr>
      <w:r w:rsidDel="00000000" w:rsidR="00000000" w:rsidRPr="00000000">
        <w:rPr>
          <w:rFonts w:ascii="Calibri" w:cs="Calibri" w:eastAsia="Calibri" w:hAnsi="Calibri"/>
          <w:rtl w:val="0"/>
        </w:rPr>
        <w:t xml:space="preserve">W razie zwłoki Wykonawcy z wykonaniem jakiegokolwiek zobowiązania przewidzianego niniejszą Umową, Zamawiający uprawniony jest, po uprzednim bezskutecznym wezwaniu Wykonawcy do wykonania zobowiązania i wyznaczenia mu w tym celu dodatkowego, 14-dniowego terminu, do powierzenia wykonania tego zobowiązania innemu podmiotowi bądź jego samodzielnego wykonania, na koszt i ryzyko Wykonawcy. Skorzystanie z uprawnienia, o którym mowa w niniejszym ustępie, nie wyklucza dochodzenia przez Zamawiającego od Wykonawcy naprawienia wyrządzonej szkody bądź skorzystania z innych uprawnień przewidzianych Umową, w tym naliczenia kar umownych.</w:t>
      </w:r>
      <w:r w:rsidDel="00000000" w:rsidR="00000000" w:rsidRPr="00000000">
        <w:rPr>
          <w:rtl w:val="0"/>
        </w:rPr>
      </w:r>
    </w:p>
    <w:p w:rsidR="00000000" w:rsidDel="00000000" w:rsidP="00000000" w:rsidRDefault="00000000" w:rsidRPr="00000000" w14:paraId="00000262">
      <w:pPr>
        <w:widowControl w:val="0"/>
        <w:spacing w:after="60" w:line="276" w:lineRule="auto"/>
        <w:ind w:left="3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63">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19 – Cesja wierzytelności</w:t>
      </w:r>
      <w:r w:rsidDel="00000000" w:rsidR="00000000" w:rsidRPr="00000000">
        <w:rPr>
          <w:rtl w:val="0"/>
        </w:rPr>
      </w:r>
    </w:p>
    <w:p w:rsidR="00000000" w:rsidDel="00000000" w:rsidP="00000000" w:rsidRDefault="00000000" w:rsidRPr="00000000" w14:paraId="00000264">
      <w:pPr>
        <w:numPr>
          <w:ilvl w:val="0"/>
          <w:numId w:val="1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Przeniesienie przez Wykonawcę na rzecz innego podmiotu jakichkolwiek wierzytelności przysługujących Wykonawcy wobec Zamawiającego (cesja) wymaga uzyskania uprzedniej pisemnej zgody Zamawiającego, pod rygorem nieważności.</w:t>
      </w:r>
    </w:p>
    <w:p w:rsidR="00000000" w:rsidDel="00000000" w:rsidP="00000000" w:rsidRDefault="00000000" w:rsidRPr="00000000" w14:paraId="00000265">
      <w:pPr>
        <w:numPr>
          <w:ilvl w:val="0"/>
          <w:numId w:val="11"/>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Wyłącza się prawo Wykonawcy do dokonywania potrąceń jakichkolwiek wierzytelności wobec Zamawiającego wynikających z niniejszej Umowy, z wierzytelnościami przysługującymi Zamawiającemu wobec Wykonawcy.</w:t>
      </w:r>
    </w:p>
    <w:p w:rsidR="00000000" w:rsidDel="00000000" w:rsidP="00000000" w:rsidRDefault="00000000" w:rsidRPr="00000000" w14:paraId="00000266">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7">
      <w:pPr>
        <w:keepNext w:val="1"/>
        <w:numPr>
          <w:ilvl w:val="0"/>
          <w:numId w:val="26"/>
        </w:numPr>
        <w:spacing w:after="60" w:line="276" w:lineRule="auto"/>
        <w:ind w:left="432" w:hanging="432"/>
        <w:jc w:val="center"/>
        <w:rPr>
          <w:rFonts w:ascii="Calibri" w:cs="Calibri" w:eastAsia="Calibri" w:hAnsi="Calibri"/>
        </w:rPr>
      </w:pPr>
      <w:r w:rsidDel="00000000" w:rsidR="00000000" w:rsidRPr="00000000">
        <w:rPr>
          <w:rFonts w:ascii="Calibri" w:cs="Calibri" w:eastAsia="Calibri" w:hAnsi="Calibri"/>
          <w:b w:val="1"/>
          <w:rtl w:val="0"/>
        </w:rPr>
        <w:t xml:space="preserve">§ 20 – Osoby odpowiedzialne za realizację Umowy</w:t>
      </w:r>
      <w:r w:rsidDel="00000000" w:rsidR="00000000" w:rsidRPr="00000000">
        <w:rPr>
          <w:rtl w:val="0"/>
        </w:rPr>
      </w:r>
    </w:p>
    <w:p w:rsidR="00000000" w:rsidDel="00000000" w:rsidP="00000000" w:rsidRDefault="00000000" w:rsidRPr="00000000" w14:paraId="00000268">
      <w:pPr>
        <w:numPr>
          <w:ilvl w:val="0"/>
          <w:numId w:val="36"/>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Osobami wyznaczonymi do kontaktu przy realizacji Umowy są: </w:t>
      </w:r>
    </w:p>
    <w:p w:rsidR="00000000" w:rsidDel="00000000" w:rsidP="00000000" w:rsidRDefault="00000000" w:rsidRPr="00000000" w14:paraId="00000269">
      <w:pPr>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ze strony Zamawiającego:.................................................................... </w:t>
      </w:r>
    </w:p>
    <w:p w:rsidR="00000000" w:rsidDel="00000000" w:rsidP="00000000" w:rsidRDefault="00000000" w:rsidRPr="00000000" w14:paraId="0000026A">
      <w:pPr>
        <w:widowControl w:val="0"/>
        <w:spacing w:after="60"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ab/>
        <w:t xml:space="preserve">tel. ..................................... </w:t>
        <w:tab/>
        <w:t xml:space="preserve">email: .................................. </w:t>
      </w:r>
    </w:p>
    <w:p w:rsidR="00000000" w:rsidDel="00000000" w:rsidP="00000000" w:rsidRDefault="00000000" w:rsidRPr="00000000" w14:paraId="0000026B">
      <w:pPr>
        <w:spacing w:after="60" w:line="276" w:lineRule="auto"/>
        <w:jc w:val="both"/>
        <w:rPr>
          <w:rFonts w:ascii="Calibri" w:cs="Calibri" w:eastAsia="Calibri" w:hAnsi="Calibri"/>
        </w:rPr>
      </w:pPr>
      <w:r w:rsidDel="00000000" w:rsidR="00000000" w:rsidRPr="00000000">
        <w:rPr>
          <w:rFonts w:ascii="Calibri" w:cs="Calibri" w:eastAsia="Calibri" w:hAnsi="Calibri"/>
          <w:rtl w:val="0"/>
        </w:rPr>
        <w:t xml:space="preserve">ze strony Wykonawcy:......................................................................... </w:t>
      </w:r>
    </w:p>
    <w:p w:rsidR="00000000" w:rsidDel="00000000" w:rsidP="00000000" w:rsidRDefault="00000000" w:rsidRPr="00000000" w14:paraId="0000026C">
      <w:pPr>
        <w:widowControl w:val="0"/>
        <w:spacing w:after="60" w:line="276" w:lineRule="auto"/>
        <w:jc w:val="both"/>
        <w:rPr>
          <w:rFonts w:ascii="Calibri" w:cs="Calibri" w:eastAsia="Calibri" w:hAnsi="Calibri"/>
        </w:rPr>
      </w:pPr>
      <w:r w:rsidDel="00000000" w:rsidR="00000000" w:rsidRPr="00000000">
        <w:rPr>
          <w:rFonts w:ascii="Calibri" w:cs="Calibri" w:eastAsia="Calibri" w:hAnsi="Calibri"/>
          <w:rtl w:val="0"/>
        </w:rPr>
        <w:tab/>
        <w:t xml:space="preserve">tel. ..................................... </w:t>
        <w:tab/>
        <w:t xml:space="preserve">email: ...................................</w:t>
      </w:r>
    </w:p>
    <w:p w:rsidR="00000000" w:rsidDel="00000000" w:rsidP="00000000" w:rsidRDefault="00000000" w:rsidRPr="00000000" w14:paraId="0000026D">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E">
      <w:pPr>
        <w:keepNext w:val="1"/>
        <w:spacing w:after="60" w:line="276" w:lineRule="auto"/>
        <w:jc w:val="center"/>
        <w:rPr>
          <w:rFonts w:ascii="Calibri" w:cs="Calibri" w:eastAsia="Calibri" w:hAnsi="Calibri"/>
          <w:b w:val="1"/>
        </w:rPr>
      </w:pPr>
      <w:r w:rsidDel="00000000" w:rsidR="00000000" w:rsidRPr="00000000">
        <w:rPr>
          <w:rtl w:val="0"/>
        </w:rPr>
        <w:t xml:space="preserve">     </w:t>
      </w:r>
      <w:r w:rsidDel="00000000" w:rsidR="00000000" w:rsidRPr="00000000">
        <w:rPr>
          <w:rFonts w:ascii="Calibri" w:cs="Calibri" w:eastAsia="Calibri" w:hAnsi="Calibri"/>
          <w:b w:val="1"/>
          <w:rtl w:val="0"/>
        </w:rPr>
        <w:t xml:space="preserve">§ 21 – Zmiany Umowy</w:t>
      </w:r>
    </w:p>
    <w:p w:rsidR="00000000" w:rsidDel="00000000" w:rsidP="00000000" w:rsidRDefault="00000000" w:rsidRPr="00000000" w14:paraId="0000026F">
      <w:pPr>
        <w:numPr>
          <w:ilvl w:val="0"/>
          <w:numId w:val="54"/>
        </w:numPr>
        <w:spacing w:after="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Strony uprawnione są do dokonania zmian postanowień Umowy w:</w:t>
      </w:r>
    </w:p>
    <w:p w:rsidR="00000000" w:rsidDel="00000000" w:rsidP="00000000" w:rsidRDefault="00000000" w:rsidRPr="00000000" w14:paraId="00000270">
      <w:pPr>
        <w:numPr>
          <w:ilvl w:val="2"/>
          <w:numId w:val="3"/>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przypadku zmian nieistotnych w rozumieniu art. 144 ust. 1e uPzp;</w:t>
      </w:r>
    </w:p>
    <w:p w:rsidR="00000000" w:rsidDel="00000000" w:rsidP="00000000" w:rsidRDefault="00000000" w:rsidRPr="00000000" w14:paraId="00000271">
      <w:pPr>
        <w:numPr>
          <w:ilvl w:val="2"/>
          <w:numId w:val="3"/>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zakresie terminu realizacji Przedmiotu Umowy, w tym terminów pośrednich (poszczególnych etapów), gdy pozyskanie jakichkolwiek opinii i uzgodnień od Zamawiającego, użytkowników i właścicieli infrastruktury technicznej, wydłuży się - z przyczyn nieleżących po stronie Wykonawcy - ponad okres 2 tygodni, liczony od daty złożenia dokumentacji niezbędnej do wydania opinii lub uzgodnienia, do czasu wydania opinii lub uzgodnienia dokumentacji, a wydłużenie to będzie miało wpływ na termin realizacji Przedmiotu Umowy – o czas ww. wydłużenia;</w:t>
      </w:r>
    </w:p>
    <w:p w:rsidR="00000000" w:rsidDel="00000000" w:rsidP="00000000" w:rsidRDefault="00000000" w:rsidRPr="00000000" w14:paraId="00000272">
      <w:pPr>
        <w:numPr>
          <w:ilvl w:val="2"/>
          <w:numId w:val="3"/>
        </w:numPr>
        <w:spacing w:after="6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zakresie terminu realizacji Przedmiotu Umowy, w tym terminów pośrednich (poszczególnych etapów) w przypadku: </w:t>
      </w:r>
    </w:p>
    <w:p w:rsidR="00000000" w:rsidDel="00000000" w:rsidP="00000000" w:rsidRDefault="00000000" w:rsidRPr="00000000" w14:paraId="00000273">
      <w:pPr>
        <w:numPr>
          <w:ilvl w:val="3"/>
          <w:numId w:val="3"/>
        </w:numPr>
        <w:spacing w:after="60" w:line="276" w:lineRule="auto"/>
        <w:ind w:left="1800" w:hanging="720"/>
        <w:jc w:val="both"/>
        <w:rPr>
          <w:rFonts w:ascii="Calibri" w:cs="Calibri" w:eastAsia="Calibri" w:hAnsi="Calibri"/>
        </w:rPr>
      </w:pPr>
      <w:r w:rsidDel="00000000" w:rsidR="00000000" w:rsidRPr="00000000">
        <w:rPr>
          <w:rFonts w:ascii="Calibri" w:cs="Calibri" w:eastAsia="Calibri" w:hAnsi="Calibri"/>
          <w:rtl w:val="0"/>
        </w:rPr>
        <w:t xml:space="preserve">działania siły wyższej, uniemożliwiającej realizację przedmiotu zamówienia  w określonym pierwotnie terminie, o czas działania siły wyższej oraz potrzebny do usunięcia skutków tego działania; pod pojęciem „siły wyższej” rozumiane jest zdarzenie zewnętrzne, niemożliwe do przewidzenia, którego skutkom nie można zapobiec, w szczególności: stan wojny, stan klęski żywiołowej, strajk generalny, powodzie, stan epidemii Covid 19;</w:t>
      </w:r>
    </w:p>
    <w:p w:rsidR="00000000" w:rsidDel="00000000" w:rsidP="00000000" w:rsidRDefault="00000000" w:rsidRPr="00000000" w14:paraId="00000274">
      <w:pPr>
        <w:numPr>
          <w:ilvl w:val="3"/>
          <w:numId w:val="3"/>
        </w:numPr>
        <w:spacing w:after="60" w:line="276" w:lineRule="auto"/>
        <w:ind w:left="1800" w:hanging="720"/>
        <w:jc w:val="both"/>
        <w:rPr>
          <w:rFonts w:ascii="Calibri" w:cs="Calibri" w:eastAsia="Calibri" w:hAnsi="Calibri"/>
        </w:rPr>
      </w:pPr>
      <w:r w:rsidDel="00000000" w:rsidR="00000000" w:rsidRPr="00000000">
        <w:rPr>
          <w:rFonts w:ascii="Calibri" w:cs="Calibri" w:eastAsia="Calibri" w:hAnsi="Calibri"/>
          <w:rtl w:val="0"/>
        </w:rPr>
        <w:t xml:space="preserve">wystąpienia okoliczności niezależnych od Wykonawcy i Zamawiającego, np. niesprzyjające warunki atmosferyczne – tj. np. długotrwałe intensywne opady deszczu, śniegu, podtopienia, temperatura powietrza, przy której niemożliwe  jest prowadzenie prac, opóźnienie w uruchomieniu systemu FALA mające wpływ na termin realizacji Etapu IV - których nie można było przewidzieć przy zachowaniu należytej staranności, o ile Wykonawca wykaże, że okoliczności te miały bezpośredni wpływ na niemożliwość realizacji świadczenia w terminie określonym Umową – w tym przypadku termin wykonania Przedmiotu Umowy może ulec zmianie proporcjonalnie do czasu wystąpienia ww. zdarzeń;</w:t>
      </w:r>
    </w:p>
    <w:p w:rsidR="00000000" w:rsidDel="00000000" w:rsidP="00000000" w:rsidRDefault="00000000" w:rsidRPr="00000000" w14:paraId="00000275">
      <w:pPr>
        <w:numPr>
          <w:ilvl w:val="3"/>
          <w:numId w:val="3"/>
        </w:numPr>
        <w:spacing w:after="60" w:line="276" w:lineRule="auto"/>
        <w:ind w:left="1800" w:hanging="720"/>
        <w:jc w:val="both"/>
        <w:rPr>
          <w:rFonts w:ascii="Calibri" w:cs="Calibri" w:eastAsia="Calibri" w:hAnsi="Calibri"/>
        </w:rPr>
      </w:pPr>
      <w:r w:rsidDel="00000000" w:rsidR="00000000" w:rsidRPr="00000000">
        <w:rPr>
          <w:rFonts w:ascii="Calibri" w:cs="Calibri" w:eastAsia="Calibri" w:hAnsi="Calibri"/>
          <w:rtl w:val="0"/>
        </w:rPr>
        <w:t xml:space="preserve">zatrzymania realizacji przedmiotu zamówienia przez urzędy, z przyczyn niezależnych od Wykonawcy o czas niezbędny do uzyskania wymaganych decyzji bądź uzgodnień z tymi urzędami;</w:t>
      </w:r>
    </w:p>
    <w:p w:rsidR="00000000" w:rsidDel="00000000" w:rsidP="00000000" w:rsidRDefault="00000000" w:rsidRPr="00000000" w14:paraId="00000276">
      <w:pPr>
        <w:numPr>
          <w:ilvl w:val="3"/>
          <w:numId w:val="3"/>
        </w:numPr>
        <w:spacing w:after="60" w:line="276" w:lineRule="auto"/>
        <w:ind w:left="1800" w:hanging="720"/>
        <w:jc w:val="both"/>
        <w:rPr>
          <w:rFonts w:ascii="Calibri" w:cs="Calibri" w:eastAsia="Calibri" w:hAnsi="Calibri"/>
        </w:rPr>
      </w:pPr>
      <w:r w:rsidDel="00000000" w:rsidR="00000000" w:rsidRPr="00000000">
        <w:rPr>
          <w:rFonts w:ascii="Calibri" w:cs="Calibri" w:eastAsia="Calibri" w:hAnsi="Calibri"/>
          <w:rtl w:val="0"/>
        </w:rPr>
        <w:t xml:space="preserve">pisemnego wstrzymanie realizacji przedmiotu zamówienia przez Zamawiającego, z przyczyn nieleżących po stronie Wykonawcy, o czas wstrzymania realizacji przedmiotu zamówienia;</w:t>
      </w:r>
    </w:p>
    <w:p w:rsidR="00000000" w:rsidDel="00000000" w:rsidP="00000000" w:rsidRDefault="00000000" w:rsidRPr="00000000" w14:paraId="00000277">
      <w:pPr>
        <w:numPr>
          <w:ilvl w:val="3"/>
          <w:numId w:val="3"/>
        </w:numPr>
        <w:spacing w:after="60" w:line="276" w:lineRule="auto"/>
        <w:ind w:left="1800" w:hanging="720"/>
        <w:jc w:val="both"/>
        <w:rPr>
          <w:rFonts w:ascii="Calibri" w:cs="Calibri" w:eastAsia="Calibri" w:hAnsi="Calibri"/>
        </w:rPr>
      </w:pPr>
      <w:r w:rsidDel="00000000" w:rsidR="00000000" w:rsidRPr="00000000">
        <w:rPr>
          <w:rFonts w:ascii="Calibri" w:cs="Calibri" w:eastAsia="Calibri" w:hAnsi="Calibri"/>
          <w:rtl w:val="0"/>
        </w:rPr>
        <w:t xml:space="preserve">niespowodowanego przez którąkolwiek ze Stron zachowania organów administracji i organów podobnych mającego wpływ na opóźnienie w realizacji Umowy, w szczególności: przekroczenie zakreślonych przez prawo terminów wydawania przez organy administracji decyzji, zezwoleń, itp., odmowa wydania przez organy administracji wymaganych decyzji, zezwoleń, uzgodnień, o czas opóźnienia tym spowodowany;</w:t>
      </w:r>
    </w:p>
    <w:p w:rsidR="00000000" w:rsidDel="00000000" w:rsidP="00000000" w:rsidRDefault="00000000" w:rsidRPr="00000000" w14:paraId="00000278">
      <w:pPr>
        <w:spacing w:after="60" w:line="276" w:lineRule="auto"/>
        <w:ind w:left="1077" w:hanging="357"/>
        <w:jc w:val="both"/>
        <w:rPr>
          <w:rFonts w:ascii="Calibri" w:cs="Calibri" w:eastAsia="Calibri" w:hAnsi="Calibri"/>
        </w:rPr>
      </w:pPr>
      <w:r w:rsidDel="00000000" w:rsidR="00000000" w:rsidRPr="00000000">
        <w:rPr>
          <w:rFonts w:ascii="Calibri" w:cs="Calibri" w:eastAsia="Calibri" w:hAnsi="Calibri"/>
          <w:rtl w:val="0"/>
        </w:rPr>
        <w:t xml:space="preserve">d/ przypadkach zmian postanowień Umowy wynikających z wystąpienia oczywistych omyłek pisarskich i rachunkowych w treści Umowy;</w:t>
      </w:r>
    </w:p>
    <w:p w:rsidR="00000000" w:rsidDel="00000000" w:rsidP="00000000" w:rsidRDefault="00000000" w:rsidRPr="00000000" w14:paraId="00000279">
      <w:pPr>
        <w:spacing w:after="60" w:line="276" w:lineRule="auto"/>
        <w:ind w:left="1077" w:hanging="357"/>
        <w:jc w:val="both"/>
        <w:rPr>
          <w:rFonts w:ascii="Calibri" w:cs="Calibri" w:eastAsia="Calibri" w:hAnsi="Calibri"/>
        </w:rPr>
      </w:pPr>
      <w:r w:rsidDel="00000000" w:rsidR="00000000" w:rsidRPr="00000000">
        <w:rPr>
          <w:rFonts w:ascii="Calibri" w:cs="Calibri" w:eastAsia="Calibri" w:hAnsi="Calibri"/>
          <w:rtl w:val="0"/>
        </w:rPr>
        <w:t xml:space="preserve">e/ zakresie zmiany rozwiązań technologicznych określonych OPZ spowodowanej w szczególności: niedostępnością na rynku materiałów, technologii lub urządzeń wskazanych w OPZ lub wycofania z rynku tych materiałów, technologii lub urządzeń bądź pojawieniem się na rynku materiałów, technologii lub urządzeń nowszej generacji zapewniających wyższy standard funkcjonowania systemu SRM MEVO (bez zmiany rodzaju i charakteru realizowanej Umowy, a także zmiany celu, jaki ma być osiągnięty w ramach realizacji Umowy);</w:t>
      </w:r>
    </w:p>
    <w:p w:rsidR="00000000" w:rsidDel="00000000" w:rsidP="00000000" w:rsidRDefault="00000000" w:rsidRPr="00000000" w14:paraId="0000027A">
      <w:pPr>
        <w:spacing w:after="60" w:line="276" w:lineRule="auto"/>
        <w:ind w:left="993" w:hanging="273"/>
        <w:jc w:val="both"/>
        <w:rPr>
          <w:rFonts w:ascii="Calibri" w:cs="Calibri" w:eastAsia="Calibri" w:hAnsi="Calibri"/>
        </w:rPr>
      </w:pPr>
      <w:r w:rsidDel="00000000" w:rsidR="00000000" w:rsidRPr="00000000">
        <w:rPr>
          <w:rFonts w:ascii="Calibri" w:cs="Calibri" w:eastAsia="Calibri" w:hAnsi="Calibri"/>
          <w:rtl w:val="0"/>
        </w:rPr>
        <w:t xml:space="preserve">f/ wskazanej w § 3 ust. 12 lit. b) Umowy wymaganej liczby osób, o których mowa w art. 29 ust. 4 pkt 1-4 uPzp, w przypadku udokumentowania przez Wykonawcę obiektywnego braku dostępności takich osób na rynku pracy w wymaganej liczbie, w zakresie, w jakim taki brak dostępności zachodzi;    </w:t>
      </w:r>
    </w:p>
    <w:p w:rsidR="00000000" w:rsidDel="00000000" w:rsidP="00000000" w:rsidRDefault="00000000" w:rsidRPr="00000000" w14:paraId="0000027B">
      <w:p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2.  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o udzielenie zamówienia, Wykonawca winien każdorazowo wykazać, że proponowany inny Podwykonawca lub Wykonawca samodzielnie spełnia warunki udziału w postępowaniu o udzielenie zamówienia w stopniu nie mniejszym niż Podwykonawca, na którego zasoby Wykonawca powoływał się w trakcie postępowania o udzielenie zamówienia.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7C">
      <w:p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3. Warunkiem zmiany postanowień umownych jest rzetelne udokumentowanie konieczności jej przeprowadzenia w formie protokołu konieczności sporządzonego przez przedstawicieli Wykonawcy oraz Zamawiającego. </w:t>
      </w:r>
    </w:p>
    <w:p w:rsidR="00000000" w:rsidDel="00000000" w:rsidP="00000000" w:rsidRDefault="00000000" w:rsidRPr="00000000" w14:paraId="0000027D">
      <w:p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4.  Wszelkie zmiany w Umowie, pod rygorem nieważności, sporządzone będą na podstawie protokołu i wprowadzone w drodze pisemnego aneksu. </w:t>
      </w:r>
    </w:p>
    <w:p w:rsidR="00000000" w:rsidDel="00000000" w:rsidP="00000000" w:rsidRDefault="00000000" w:rsidRPr="00000000" w14:paraId="0000027E">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F">
      <w:pPr>
        <w:keepNext w:val="1"/>
        <w:spacing w:after="6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22 – Postanowienia końcowe</w:t>
      </w:r>
      <w:r w:rsidDel="00000000" w:rsidR="00000000" w:rsidRPr="00000000">
        <w:rPr>
          <w:rtl w:val="0"/>
        </w:rPr>
      </w:r>
    </w:p>
    <w:p w:rsidR="00000000" w:rsidDel="00000000" w:rsidP="00000000" w:rsidRDefault="00000000" w:rsidRPr="00000000" w14:paraId="00000280">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Integralną częścią Umowy są: Oferta złożona przez Wykonawcę wraz z Koncepcją funkcjonowania oraz Specyfikacja Istotnych Warunków Zamówienia (SIWZ), w tym OPZ, których postanowienia wiążą obie strony Umowy. Wszelkie dokumenty składające się na niniejszą Umowę są wzajem objaśniające i uzupełniające. W przypadku wystąpienia jakichkolwiek niedających się usunąć w drodze wykładni, rozbieżności pomiędzy treścią dokumentów składających się na niniejszą Umowę, przyjmuje się następującą hierarchię dokumentów:</w:t>
      </w:r>
    </w:p>
    <w:p w:rsidR="00000000" w:rsidDel="00000000" w:rsidP="00000000" w:rsidRDefault="00000000" w:rsidRPr="00000000" w14:paraId="00000281">
      <w:pPr>
        <w:spacing w:after="60" w:line="276" w:lineRule="auto"/>
        <w:ind w:left="357" w:firstLine="0"/>
        <w:jc w:val="both"/>
        <w:rPr>
          <w:rFonts w:ascii="Calibri" w:cs="Calibri" w:eastAsia="Calibri" w:hAnsi="Calibri"/>
        </w:rPr>
      </w:pPr>
      <w:r w:rsidDel="00000000" w:rsidR="00000000" w:rsidRPr="00000000">
        <w:rPr>
          <w:rFonts w:ascii="Calibri" w:cs="Calibri" w:eastAsia="Calibri" w:hAnsi="Calibri"/>
          <w:rtl w:val="0"/>
        </w:rPr>
        <w:t xml:space="preserve">a/ Umowa</w:t>
      </w:r>
    </w:p>
    <w:p w:rsidR="00000000" w:rsidDel="00000000" w:rsidP="00000000" w:rsidRDefault="00000000" w:rsidRPr="00000000" w14:paraId="00000282">
      <w:pPr>
        <w:spacing w:after="60" w:line="276" w:lineRule="auto"/>
        <w:ind w:left="357" w:firstLine="0"/>
        <w:jc w:val="both"/>
        <w:rPr>
          <w:rFonts w:ascii="Calibri" w:cs="Calibri" w:eastAsia="Calibri" w:hAnsi="Calibri"/>
        </w:rPr>
      </w:pPr>
      <w:r w:rsidDel="00000000" w:rsidR="00000000" w:rsidRPr="00000000">
        <w:rPr>
          <w:rFonts w:ascii="Calibri" w:cs="Calibri" w:eastAsia="Calibri" w:hAnsi="Calibri"/>
          <w:rtl w:val="0"/>
        </w:rPr>
        <w:t xml:space="preserve">b/ OPZ</w:t>
      </w:r>
    </w:p>
    <w:p w:rsidR="00000000" w:rsidDel="00000000" w:rsidP="00000000" w:rsidRDefault="00000000" w:rsidRPr="00000000" w14:paraId="00000283">
      <w:pPr>
        <w:spacing w:after="60" w:line="276" w:lineRule="auto"/>
        <w:ind w:left="357" w:firstLine="0"/>
        <w:jc w:val="both"/>
        <w:rPr>
          <w:rFonts w:ascii="Calibri" w:cs="Calibri" w:eastAsia="Calibri" w:hAnsi="Calibri"/>
        </w:rPr>
      </w:pPr>
      <w:r w:rsidDel="00000000" w:rsidR="00000000" w:rsidRPr="00000000">
        <w:rPr>
          <w:rFonts w:ascii="Calibri" w:cs="Calibri" w:eastAsia="Calibri" w:hAnsi="Calibri"/>
          <w:rtl w:val="0"/>
        </w:rPr>
        <w:t xml:space="preserve">c/ SIWZ</w:t>
      </w:r>
    </w:p>
    <w:p w:rsidR="00000000" w:rsidDel="00000000" w:rsidP="00000000" w:rsidRDefault="00000000" w:rsidRPr="00000000" w14:paraId="00000284">
      <w:pPr>
        <w:spacing w:after="60" w:line="276" w:lineRule="auto"/>
        <w:ind w:left="357" w:firstLine="0"/>
        <w:jc w:val="both"/>
        <w:rPr>
          <w:rFonts w:ascii="Calibri" w:cs="Calibri" w:eastAsia="Calibri" w:hAnsi="Calibri"/>
        </w:rPr>
      </w:pPr>
      <w:r w:rsidDel="00000000" w:rsidR="00000000" w:rsidRPr="00000000">
        <w:rPr>
          <w:rFonts w:ascii="Calibri" w:cs="Calibri" w:eastAsia="Calibri" w:hAnsi="Calibri"/>
          <w:rtl w:val="0"/>
        </w:rPr>
        <w:t xml:space="preserve">d/ pozostałe dokumenty</w:t>
      </w:r>
    </w:p>
    <w:p w:rsidR="00000000" w:rsidDel="00000000" w:rsidP="00000000" w:rsidRDefault="00000000" w:rsidRPr="00000000" w14:paraId="00000285">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każdym przypadku, gdy w treści Umowy jest mowa o protokole podpisanym przez obie Strony, Strony zastrzegają, iż w przypadku, gdyby Wykonawca odmówił stawiennictwa na czynność, której dotyczy protokół albo bez uzasadnienia odmówił podpisania protokołu, Zamawiający uprawniony będzie do samodzielnego stworzenia protokołu, wiążącego dla Stron. </w:t>
      </w:r>
    </w:p>
    <w:p w:rsidR="00000000" w:rsidDel="00000000" w:rsidP="00000000" w:rsidRDefault="00000000" w:rsidRPr="00000000" w14:paraId="00000286">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Prawem właściwym dla Umowy jest prawo polskie. W sprawach nieuregulowanych Umową mają zastosowanie powszechnie wiążące przepisy prawa, a w szczególności ustawy z dnia 23 kwietnia 1964 r. Kodeks Cywilny (tekst jednolity:</w:t>
      </w:r>
      <w:r w:rsidDel="00000000" w:rsidR="00000000" w:rsidRPr="00000000">
        <w:rPr>
          <w:rtl w:val="0"/>
        </w:rPr>
        <w:t xml:space="preserve"> </w:t>
      </w:r>
      <w:hyperlink r:id="rId10">
        <w:r w:rsidDel="00000000" w:rsidR="00000000" w:rsidRPr="00000000">
          <w:rPr>
            <w:rFonts w:ascii="Calibri" w:cs="Calibri" w:eastAsia="Calibri" w:hAnsi="Calibri"/>
            <w:u w:val="single"/>
            <w:rtl w:val="0"/>
          </w:rPr>
          <w:t xml:space="preserve">Dz.U. 2020 poz. 1740</w:t>
        </w:r>
      </w:hyperlink>
      <w:r w:rsidDel="00000000" w:rsidR="00000000" w:rsidRPr="00000000">
        <w:rPr>
          <w:rFonts w:ascii="Calibri" w:cs="Calibri" w:eastAsia="Calibri" w:hAnsi="Calibri"/>
          <w:rtl w:val="0"/>
        </w:rPr>
        <w:t xml:space="preserve"> ze zm.)</w:t>
      </w:r>
    </w:p>
    <w:p w:rsidR="00000000" w:rsidDel="00000000" w:rsidP="00000000" w:rsidRDefault="00000000" w:rsidRPr="00000000" w14:paraId="00000287">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Spory mogące wynikać przy wykonaniu Umowy, strony poddają rozstrzygnięciu sądu właściwego miejscowo dla siedziby Zamawiającego.</w:t>
      </w:r>
    </w:p>
    <w:p w:rsidR="00000000" w:rsidDel="00000000" w:rsidP="00000000" w:rsidRDefault="00000000" w:rsidRPr="00000000" w14:paraId="00000288">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oświadcza, że znany jest mu fakt, iż treść niniejszej Umowy, a w szczególności dotyczące go dane identyfikujące, Przedmiot Umowy i wysokość wynagrodzenia, podlegają udostępnieniu w trybie ustawy  z dnia 6 września 2001 r. o dostępie do informacji publicznej (tekst jednolity: </w:t>
      </w:r>
      <w:hyperlink r:id="rId11">
        <w:r w:rsidDel="00000000" w:rsidR="00000000" w:rsidRPr="00000000">
          <w:rPr>
            <w:rFonts w:ascii="Calibri" w:cs="Calibri" w:eastAsia="Calibri" w:hAnsi="Calibri"/>
            <w:u w:val="single"/>
            <w:rtl w:val="0"/>
          </w:rPr>
          <w:t xml:space="preserve">Dz.U. 2020 poz. 2176</w:t>
        </w:r>
      </w:hyperlink>
      <w:r w:rsidDel="00000000" w:rsidR="00000000" w:rsidRPr="00000000">
        <w:rPr>
          <w:rFonts w:ascii="Calibri" w:cs="Calibri" w:eastAsia="Calibri" w:hAnsi="Calibri"/>
          <w:rtl w:val="0"/>
        </w:rPr>
        <w:t xml:space="preserve"> ze zm.), z zastrzeżeniem wyjątków przewidzianych przepisami prawa, w szczególności przepisami dot. ochrony tajemnicy przedsiębiorstwa.</w:t>
      </w:r>
    </w:p>
    <w:p w:rsidR="00000000" w:rsidDel="00000000" w:rsidP="00000000" w:rsidRDefault="00000000" w:rsidRPr="00000000" w14:paraId="00000289">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00000" w:rsidDel="00000000" w:rsidP="00000000" w:rsidRDefault="00000000" w:rsidRPr="00000000" w14:paraId="0000028A">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Strony oświadczają, że dane kontaktowe pracowników, współpracowników i reprezentantów Stron udostępniane wzajemnie w niniejszej Umowie lub udostępnione drugiej Stronie w jakikolwiek sposób w okresie obowiązywania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000000" w:rsidDel="00000000" w:rsidP="00000000" w:rsidRDefault="00000000" w:rsidRPr="00000000" w14:paraId="0000028B">
      <w:pPr>
        <w:numPr>
          <w:ilvl w:val="0"/>
          <w:numId w:val="38"/>
        </w:numPr>
        <w:spacing w:after="6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Umowę sporządzono w czterech jednobrzmiących egzemplarzach: 1 egz. dla Wykonawcy i 3 egz. dla Zamawiającego.</w:t>
        <w:tab/>
      </w:r>
    </w:p>
    <w:p w:rsidR="00000000" w:rsidDel="00000000" w:rsidP="00000000" w:rsidRDefault="00000000" w:rsidRPr="00000000" w14:paraId="0000028C">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D">
      <w:pPr>
        <w:widowControl w:val="0"/>
        <w:spacing w:after="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0"/>
        <w:spacing w:after="60" w:line="276" w:lineRule="auto"/>
        <w:jc w:val="both"/>
        <w:rPr>
          <w:rFonts w:ascii="Calibri" w:cs="Calibri" w:eastAsia="Calibri" w:hAnsi="Calibri"/>
        </w:rPr>
      </w:pPr>
      <w:r w:rsidDel="00000000" w:rsidR="00000000" w:rsidRPr="00000000">
        <w:rPr>
          <w:rtl w:val="0"/>
        </w:rPr>
      </w:r>
    </w:p>
    <w:tbl>
      <w:tblPr>
        <w:tblStyle w:val="Table4"/>
        <w:tblW w:w="9062.0" w:type="dxa"/>
        <w:jc w:val="left"/>
        <w:tblInd w:w="0.0" w:type="dxa"/>
        <w:tblLayout w:type="fixed"/>
        <w:tblLook w:val="0400"/>
      </w:tblPr>
      <w:tblGrid>
        <w:gridCol w:w="4532"/>
        <w:gridCol w:w="4530"/>
        <w:tblGridChange w:id="0">
          <w:tblGrid>
            <w:gridCol w:w="4532"/>
            <w:gridCol w:w="4530"/>
          </w:tblGrid>
        </w:tblGridChange>
      </w:tblGrid>
      <w:tr>
        <w:tc>
          <w:tcPr/>
          <w:p w:rsidR="00000000" w:rsidDel="00000000" w:rsidP="00000000" w:rsidRDefault="00000000" w:rsidRPr="00000000" w14:paraId="0000028F">
            <w:pPr>
              <w:widowControl w:val="0"/>
              <w:spacing w:after="60" w:line="276"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290">
            <w:pPr>
              <w:widowControl w:val="0"/>
              <w:spacing w:after="60" w:line="276"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Zamawiający</w:t>
            </w:r>
          </w:p>
        </w:tc>
        <w:tc>
          <w:tcPr/>
          <w:p w:rsidR="00000000" w:rsidDel="00000000" w:rsidP="00000000" w:rsidRDefault="00000000" w:rsidRPr="00000000" w14:paraId="00000291">
            <w:pPr>
              <w:widowControl w:val="0"/>
              <w:spacing w:after="60" w:line="276"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292">
            <w:pPr>
              <w:widowControl w:val="0"/>
              <w:spacing w:after="60" w:line="276"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Wykonawca</w:t>
            </w:r>
          </w:p>
        </w:tc>
      </w:tr>
    </w:tbl>
    <w:p w:rsidR="00000000" w:rsidDel="00000000" w:rsidP="00000000" w:rsidRDefault="00000000" w:rsidRPr="00000000" w14:paraId="00000293">
      <w:pPr>
        <w:widowControl w:val="0"/>
        <w:spacing w:after="40" w:line="276" w:lineRule="auto"/>
        <w:jc w:val="center"/>
        <w:rPr>
          <w:rFonts w:ascii="Calibri" w:cs="Calibri" w:eastAsia="Calibri" w:hAnsi="Calibri"/>
        </w:rPr>
      </w:pP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1417" w:top="1417" w:left="1417" w:right="1417" w:header="340"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widowControl w:val="0"/>
      <w:tabs>
        <w:tab w:val="center" w:pos="4536"/>
        <w:tab w:val="right" w:pos="9072"/>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4826635</wp:posOffset>
          </wp:positionH>
          <wp:positionV relativeFrom="paragraph">
            <wp:posOffset>-355578</wp:posOffset>
          </wp:positionV>
          <wp:extent cx="1615440" cy="535940"/>
          <wp:effectExtent b="0" l="0" r="0" t="0"/>
          <wp:wrapSquare wrapText="bothSides" distB="0" distT="0" distL="114300" distR="114300"/>
          <wp:docPr id="1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5440" cy="5359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widowControl w:val="0"/>
      <w:tabs>
        <w:tab w:val="left" w:pos="1425"/>
        <w:tab w:val="right" w:pos="8712"/>
      </w:tabs>
      <w:ind w:right="360" w:hanging="1"/>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4645660</wp:posOffset>
          </wp:positionH>
          <wp:positionV relativeFrom="paragraph">
            <wp:posOffset>-165078</wp:posOffset>
          </wp:positionV>
          <wp:extent cx="1615440" cy="535940"/>
          <wp:effectExtent b="0" l="0" r="0" t="0"/>
          <wp:wrapSquare wrapText="bothSides" distB="0" distT="0" distL="114300" distR="114300"/>
          <wp:docPr id="1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5440" cy="535940"/>
                  </a:xfrm>
                  <a:prstGeom prst="rect"/>
                  <a:ln/>
                </pic:spPr>
              </pic:pic>
            </a:graphicData>
          </a:graphic>
        </wp:anchor>
      </w:drawing>
    </w:r>
  </w:p>
  <w:p w:rsidR="00000000" w:rsidDel="00000000" w:rsidP="00000000" w:rsidRDefault="00000000" w:rsidRPr="00000000" w14:paraId="0000029C">
    <w:pPr>
      <w:widowControl w:val="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ind w:left="-993" w:firstLine="993"/>
      <w:jc w:val="center"/>
      <w:rPr>
        <w:color w:val="000000"/>
        <w:sz w:val="24"/>
        <w:szCs w:val="24"/>
      </w:rPr>
    </w:pPr>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align>center</wp:align>
              </wp:positionH>
              <wp:positionV relativeFrom="margin">
                <wp:align>bottom</wp:align>
              </wp:positionV>
              <wp:extent cx="750567" cy="2423159"/>
              <wp:effectExtent b="0" l="0" r="0" t="0"/>
              <wp:wrapSquare wrapText="bothSides" distB="0" distT="0" distL="0" distR="0"/>
              <wp:docPr id="112" name=""/>
              <a:graphic>
                <a:graphicData uri="http://schemas.microsoft.com/office/word/2010/wordprocessingShape">
                  <wps:wsp>
                    <wps:cNvSpPr/>
                    <wps:cNvPr id="2" name="Shape 2"/>
                    <wps:spPr>
                      <a:xfrm rot="-5400000">
                        <a:off x="5075820" y="2673540"/>
                        <a:ext cx="540360" cy="2212920"/>
                      </a:xfrm>
                      <a:prstGeom prst="rect">
                        <a:avLst/>
                      </a:prstGeom>
                      <a:noFill/>
                      <a:ln>
                        <a:noFill/>
                      </a:ln>
                    </wps:spPr>
                    <wps:txbx>
                      <w:txbxContent>
                        <w:p w:rsidR="00000000" w:rsidDel="00000000" w:rsidP="00000000" w:rsidRDefault="00000000" w:rsidRPr="00000000">
                          <w:pPr>
                            <w:spacing w:after="120" w:before="0" w:line="240"/>
                            <w:ind w:left="0" w:right="0" w:firstLine="-2.0000000298023224"/>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rightMargin">
                <wp:align>center</wp:align>
              </wp:positionH>
              <wp:positionV relativeFrom="margin">
                <wp:align>bottom</wp:align>
              </wp:positionV>
              <wp:extent cx="750567" cy="2423159"/>
              <wp:effectExtent b="0" l="0" r="0" t="0"/>
              <wp:wrapSquare wrapText="bothSides" distB="0" distT="0" distL="0" distR="0"/>
              <wp:docPr id="1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0567" cy="2423159"/>
                      </a:xfrm>
                      <a:prstGeom prst="rect"/>
                      <a:ln/>
                    </pic:spPr>
                  </pic:pic>
                </a:graphicData>
              </a:graphic>
            </wp:anchor>
          </w:drawing>
        </mc:Fallback>
      </mc:AlternateContent>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295">
    <w:pPr>
      <w:jc w:val="center"/>
      <w:rPr>
        <w:color w:val="000000"/>
        <w:sz w:val="24"/>
        <w:szCs w:val="24"/>
      </w:rPr>
    </w:pPr>
    <w:r w:rsidDel="00000000" w:rsidR="00000000" w:rsidRPr="00000000">
      <w:rPr>
        <w:rFonts w:ascii="Calibri" w:cs="Calibri" w:eastAsia="Calibri" w:hAnsi="Calibri"/>
        <w:b w:val="1"/>
        <w:i w:val="1"/>
        <w:color w:val="1f3864"/>
        <w:sz w:val="16"/>
        <w:szCs w:val="16"/>
        <w:rtl w:val="0"/>
      </w:rPr>
      <w:t xml:space="preserve">POSTĘPOWANIE PROWADZONE W TRYBIE DIALOGU KONKURENCYJNEGO NA WYBÓR WYKONAWCY DO REALIZACJI PRZEDSIĘWZIĘCIA</w:t>
    </w:r>
    <w:r w:rsidDel="00000000" w:rsidR="00000000" w:rsidRPr="00000000">
      <w:rPr>
        <w:rtl w:val="0"/>
      </w:rPr>
    </w:r>
  </w:p>
  <w:p w:rsidR="00000000" w:rsidDel="00000000" w:rsidP="00000000" w:rsidRDefault="00000000" w:rsidRPr="00000000" w14:paraId="00000296">
    <w:pPr>
      <w:jc w:val="center"/>
      <w:rPr>
        <w:color w:val="000000"/>
        <w:sz w:val="24"/>
        <w:szCs w:val="24"/>
      </w:rPr>
    </w:pPr>
    <w:r w:rsidDel="00000000" w:rsidR="00000000" w:rsidRPr="00000000">
      <w:rPr>
        <w:rFonts w:ascii="Calibri" w:cs="Calibri" w:eastAsia="Calibri" w:hAnsi="Calibri"/>
        <w:b w:val="1"/>
        <w:i w:val="1"/>
        <w:color w:val="1f3864"/>
        <w:sz w:val="16"/>
        <w:szCs w:val="16"/>
        <w:rtl w:val="0"/>
      </w:rPr>
      <w:t xml:space="preserve">PN. „ URUCHOMIENIE, ZARZĄDZANIE I EKSPLOATACJA SYSTEMU ROWERU METROPOLITALNEGO”</w:t>
    </w:r>
    <w:r w:rsidDel="00000000" w:rsidR="00000000" w:rsidRPr="00000000">
      <w:rPr>
        <w:rtl w:val="0"/>
      </w:rPr>
    </w:r>
  </w:p>
  <w:p w:rsidR="00000000" w:rsidDel="00000000" w:rsidP="00000000" w:rsidRDefault="00000000" w:rsidRPr="00000000" w14:paraId="00000297">
    <w:pPr>
      <w:widowControl w:val="0"/>
      <w:tabs>
        <w:tab w:val="center" w:pos="4536"/>
        <w:tab w:val="right" w:pos="9072"/>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widowControl w:val="0"/>
      <w:tabs>
        <w:tab w:val="center" w:pos="4536"/>
        <w:tab w:val="right" w:pos="9072"/>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634364" cy="2306954"/>
              <wp:effectExtent b="0" l="0" r="0" t="0"/>
              <wp:wrapNone/>
              <wp:docPr id="113" name=""/>
              <a:graphic>
                <a:graphicData uri="http://schemas.microsoft.com/office/word/2010/wordprocessingShape">
                  <wps:wsp>
                    <wps:cNvSpPr/>
                    <wps:cNvPr id="3" name="Shape 3"/>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Strona  PAGE    \* MERGEFORMAT2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634364" cy="2306954"/>
              <wp:effectExtent b="0" l="0" r="0" t="0"/>
              <wp:wrapNone/>
              <wp:docPr id="1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4364" cy="230695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99">
    <w:pPr>
      <w:widowControl w:val="0"/>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sz w:val="20"/>
        <w:szCs w:val="20"/>
        <w:vertAlign w:val="baseline"/>
      </w:rPr>
    </w:lvl>
    <w:lvl w:ilvl="1">
      <w:start w:val="1"/>
      <w:numFmt w:val="bullet"/>
      <w:lvlText w:val=""/>
      <w:lvlJc w:val="left"/>
      <w:pPr>
        <w:ind w:left="-360" w:firstLine="0"/>
      </w:pPr>
      <w:rPr>
        <w:rFonts w:ascii="Noto Sans Symbols" w:cs="Noto Sans Symbols" w:eastAsia="Noto Sans Symbols" w:hAnsi="Noto Sans Symbols"/>
      </w:rPr>
    </w:lvl>
    <w:lvl w:ilvl="2">
      <w:start w:val="1"/>
      <w:numFmt w:val="bullet"/>
      <w:lvlText w:val=""/>
      <w:lvlJc w:val="left"/>
      <w:pPr>
        <w:ind w:left="-360" w:firstLine="0"/>
      </w:pPr>
      <w:rPr>
        <w:rFonts w:ascii="Noto Sans Symbols" w:cs="Noto Sans Symbols" w:eastAsia="Noto Sans Symbols" w:hAnsi="Noto Sans Symbols"/>
      </w:rPr>
    </w:lvl>
    <w:lvl w:ilvl="3">
      <w:start w:val="1"/>
      <w:numFmt w:val="bullet"/>
      <w:lvlText w:val=""/>
      <w:lvlJc w:val="left"/>
      <w:pPr>
        <w:ind w:left="-360" w:firstLine="0"/>
      </w:pPr>
      <w:rPr>
        <w:rFonts w:ascii="Noto Sans Symbols" w:cs="Noto Sans Symbols" w:eastAsia="Noto Sans Symbols" w:hAnsi="Noto Sans Symbols"/>
      </w:rPr>
    </w:lvl>
    <w:lvl w:ilvl="4">
      <w:start w:val="1"/>
      <w:numFmt w:val="bullet"/>
      <w:lvlText w:val=""/>
      <w:lvlJc w:val="left"/>
      <w:pPr>
        <w:ind w:left="-360" w:firstLine="0"/>
      </w:pPr>
      <w:rPr>
        <w:rFonts w:ascii="Noto Sans Symbols" w:cs="Noto Sans Symbols" w:eastAsia="Noto Sans Symbols" w:hAnsi="Noto Sans Symbols"/>
      </w:rPr>
    </w:lvl>
    <w:lvl w:ilvl="5">
      <w:start w:val="1"/>
      <w:numFmt w:val="bullet"/>
      <w:lvlText w:val=""/>
      <w:lvlJc w:val="left"/>
      <w:pPr>
        <w:ind w:left="-360" w:firstLine="0"/>
      </w:pPr>
      <w:rPr>
        <w:rFonts w:ascii="Noto Sans Symbols" w:cs="Noto Sans Symbols" w:eastAsia="Noto Sans Symbols" w:hAnsi="Noto Sans Symbols"/>
      </w:rPr>
    </w:lvl>
    <w:lvl w:ilvl="6">
      <w:start w:val="1"/>
      <w:numFmt w:val="bullet"/>
      <w:lvlText w:val=""/>
      <w:lvlJc w:val="left"/>
      <w:pPr>
        <w:ind w:left="-360" w:firstLine="0"/>
      </w:pPr>
      <w:rPr>
        <w:rFonts w:ascii="Noto Sans Symbols" w:cs="Noto Sans Symbols" w:eastAsia="Noto Sans Symbols" w:hAnsi="Noto Sans Symbols"/>
      </w:rPr>
    </w:lvl>
    <w:lvl w:ilvl="7">
      <w:start w:val="1"/>
      <w:numFmt w:val="bullet"/>
      <w:lvlText w:val=""/>
      <w:lvlJc w:val="left"/>
      <w:pPr>
        <w:ind w:left="-360" w:firstLine="0"/>
      </w:pPr>
      <w:rPr>
        <w:rFonts w:ascii="Noto Sans Symbols" w:cs="Noto Sans Symbols" w:eastAsia="Noto Sans Symbols" w:hAnsi="Noto Sans Symbols"/>
      </w:rPr>
    </w:lvl>
    <w:lvl w:ilvl="8">
      <w:start w:val="1"/>
      <w:numFmt w:val="bullet"/>
      <w:lvlText w:val=""/>
      <w:lvlJc w:val="left"/>
      <w:pPr>
        <w:ind w:left="-360" w:firstLine="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vertAlign w:val="baseline"/>
      </w:rPr>
    </w:lvl>
    <w:lvl w:ilvl="1">
      <w:start w:val="1"/>
      <w:numFmt w:val="decimal"/>
      <w:lvlText w:val="3.%2"/>
      <w:lvlJc w:val="left"/>
      <w:pPr>
        <w:ind w:left="720" w:hanging="360"/>
      </w:pPr>
      <w:rPr>
        <w:color w:val="000000"/>
        <w:vertAlign w:val="baseline"/>
      </w:rPr>
    </w:lvl>
    <w:lvl w:ilvl="2">
      <w:start w:val="1"/>
      <w:numFmt w:val="lowerLetter"/>
      <w:lvlText w:val="%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bullet"/>
      <w:lvlText w:val="●"/>
      <w:lvlJc w:val="left"/>
      <w:pPr>
        <w:ind w:left="1490" w:hanging="360"/>
      </w:pPr>
      <w:rPr>
        <w:rFonts w:ascii="Noto Sans Symbols" w:cs="Noto Sans Symbols" w:eastAsia="Noto Sans Symbols" w:hAnsi="Noto Sans Symbols"/>
      </w:rPr>
    </w:lvl>
    <w:lvl w:ilvl="1">
      <w:start w:val="1"/>
      <w:numFmt w:val="bullet"/>
      <w:lvlText w:val="o"/>
      <w:lvlJc w:val="left"/>
      <w:pPr>
        <w:ind w:left="2210" w:hanging="360"/>
      </w:pPr>
      <w:rPr>
        <w:rFonts w:ascii="Courier New" w:cs="Courier New" w:eastAsia="Courier New" w:hAnsi="Courier New"/>
      </w:rPr>
    </w:lvl>
    <w:lvl w:ilvl="2">
      <w:start w:val="1"/>
      <w:numFmt w:val="bullet"/>
      <w:lvlText w:val="▪"/>
      <w:lvlJc w:val="left"/>
      <w:pPr>
        <w:ind w:left="2930" w:hanging="360"/>
      </w:pPr>
      <w:rPr>
        <w:rFonts w:ascii="Noto Sans Symbols" w:cs="Noto Sans Symbols" w:eastAsia="Noto Sans Symbols" w:hAnsi="Noto Sans Symbols"/>
      </w:rPr>
    </w:lvl>
    <w:lvl w:ilvl="3">
      <w:start w:val="1"/>
      <w:numFmt w:val="bullet"/>
      <w:lvlText w:val="●"/>
      <w:lvlJc w:val="left"/>
      <w:pPr>
        <w:ind w:left="3650" w:hanging="360"/>
      </w:pPr>
      <w:rPr>
        <w:rFonts w:ascii="Noto Sans Symbols" w:cs="Noto Sans Symbols" w:eastAsia="Noto Sans Symbols" w:hAnsi="Noto Sans Symbols"/>
      </w:rPr>
    </w:lvl>
    <w:lvl w:ilvl="4">
      <w:start w:val="1"/>
      <w:numFmt w:val="bullet"/>
      <w:lvlText w:val="o"/>
      <w:lvlJc w:val="left"/>
      <w:pPr>
        <w:ind w:left="4370" w:hanging="360"/>
      </w:pPr>
      <w:rPr>
        <w:rFonts w:ascii="Courier New" w:cs="Courier New" w:eastAsia="Courier New" w:hAnsi="Courier New"/>
      </w:rPr>
    </w:lvl>
    <w:lvl w:ilvl="5">
      <w:start w:val="1"/>
      <w:numFmt w:val="bullet"/>
      <w:lvlText w:val="▪"/>
      <w:lvlJc w:val="left"/>
      <w:pPr>
        <w:ind w:left="5090" w:hanging="360"/>
      </w:pPr>
      <w:rPr>
        <w:rFonts w:ascii="Noto Sans Symbols" w:cs="Noto Sans Symbols" w:eastAsia="Noto Sans Symbols" w:hAnsi="Noto Sans Symbols"/>
      </w:rPr>
    </w:lvl>
    <w:lvl w:ilvl="6">
      <w:start w:val="1"/>
      <w:numFmt w:val="bullet"/>
      <w:lvlText w:val="●"/>
      <w:lvlJc w:val="left"/>
      <w:pPr>
        <w:ind w:left="5810" w:hanging="360"/>
      </w:pPr>
      <w:rPr>
        <w:rFonts w:ascii="Noto Sans Symbols" w:cs="Noto Sans Symbols" w:eastAsia="Noto Sans Symbols" w:hAnsi="Noto Sans Symbols"/>
      </w:rPr>
    </w:lvl>
    <w:lvl w:ilvl="7">
      <w:start w:val="1"/>
      <w:numFmt w:val="bullet"/>
      <w:lvlText w:val="o"/>
      <w:lvlJc w:val="left"/>
      <w:pPr>
        <w:ind w:left="6530" w:hanging="360"/>
      </w:pPr>
      <w:rPr>
        <w:rFonts w:ascii="Courier New" w:cs="Courier New" w:eastAsia="Courier New" w:hAnsi="Courier New"/>
      </w:rPr>
    </w:lvl>
    <w:lvl w:ilvl="8">
      <w:start w:val="1"/>
      <w:numFmt w:val="bullet"/>
      <w:lvlText w:val="▪"/>
      <w:lvlJc w:val="left"/>
      <w:pPr>
        <w:ind w:left="725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color w:val="000000"/>
        <w:sz w:val="20"/>
        <w:szCs w:val="20"/>
        <w:vertAlign w:val="baseline"/>
      </w:rPr>
    </w:lvl>
    <w:lvl w:ilvl="1">
      <w:start w:val="1"/>
      <w:numFmt w:val="bullet"/>
      <w:lvlText w:val=""/>
      <w:lvlJc w:val="left"/>
      <w:pPr>
        <w:ind w:left="-360" w:firstLine="0"/>
      </w:pPr>
      <w:rPr>
        <w:rFonts w:ascii="Noto Sans Symbols" w:cs="Noto Sans Symbols" w:eastAsia="Noto Sans Symbols" w:hAnsi="Noto Sans Symbols"/>
      </w:rPr>
    </w:lvl>
    <w:lvl w:ilvl="2">
      <w:start w:val="1"/>
      <w:numFmt w:val="bullet"/>
      <w:lvlText w:val=""/>
      <w:lvlJc w:val="left"/>
      <w:pPr>
        <w:ind w:left="-360" w:firstLine="0"/>
      </w:pPr>
      <w:rPr>
        <w:rFonts w:ascii="Noto Sans Symbols" w:cs="Noto Sans Symbols" w:eastAsia="Noto Sans Symbols" w:hAnsi="Noto Sans Symbols"/>
      </w:rPr>
    </w:lvl>
    <w:lvl w:ilvl="3">
      <w:start w:val="1"/>
      <w:numFmt w:val="bullet"/>
      <w:lvlText w:val=""/>
      <w:lvlJc w:val="left"/>
      <w:pPr>
        <w:ind w:left="-360" w:firstLine="0"/>
      </w:pPr>
      <w:rPr>
        <w:rFonts w:ascii="Noto Sans Symbols" w:cs="Noto Sans Symbols" w:eastAsia="Noto Sans Symbols" w:hAnsi="Noto Sans Symbols"/>
      </w:rPr>
    </w:lvl>
    <w:lvl w:ilvl="4">
      <w:start w:val="1"/>
      <w:numFmt w:val="bullet"/>
      <w:lvlText w:val=""/>
      <w:lvlJc w:val="left"/>
      <w:pPr>
        <w:ind w:left="-360" w:firstLine="0"/>
      </w:pPr>
      <w:rPr>
        <w:rFonts w:ascii="Noto Sans Symbols" w:cs="Noto Sans Symbols" w:eastAsia="Noto Sans Symbols" w:hAnsi="Noto Sans Symbols"/>
      </w:rPr>
    </w:lvl>
    <w:lvl w:ilvl="5">
      <w:start w:val="1"/>
      <w:numFmt w:val="bullet"/>
      <w:lvlText w:val=""/>
      <w:lvlJc w:val="left"/>
      <w:pPr>
        <w:ind w:left="-360" w:firstLine="0"/>
      </w:pPr>
      <w:rPr>
        <w:rFonts w:ascii="Noto Sans Symbols" w:cs="Noto Sans Symbols" w:eastAsia="Noto Sans Symbols" w:hAnsi="Noto Sans Symbols"/>
      </w:rPr>
    </w:lvl>
    <w:lvl w:ilvl="6">
      <w:start w:val="1"/>
      <w:numFmt w:val="bullet"/>
      <w:lvlText w:val=""/>
      <w:lvlJc w:val="left"/>
      <w:pPr>
        <w:ind w:left="-360" w:firstLine="0"/>
      </w:pPr>
      <w:rPr>
        <w:rFonts w:ascii="Noto Sans Symbols" w:cs="Noto Sans Symbols" w:eastAsia="Noto Sans Symbols" w:hAnsi="Noto Sans Symbols"/>
      </w:rPr>
    </w:lvl>
    <w:lvl w:ilvl="7">
      <w:start w:val="1"/>
      <w:numFmt w:val="bullet"/>
      <w:lvlText w:val=""/>
      <w:lvlJc w:val="left"/>
      <w:pPr>
        <w:ind w:left="-360" w:firstLine="0"/>
      </w:pPr>
      <w:rPr>
        <w:rFonts w:ascii="Noto Sans Symbols" w:cs="Noto Sans Symbols" w:eastAsia="Noto Sans Symbols" w:hAnsi="Noto Sans Symbols"/>
      </w:rPr>
    </w:lvl>
    <w:lvl w:ilvl="8">
      <w:start w:val="1"/>
      <w:numFmt w:val="bullet"/>
      <w:lvlText w:val=""/>
      <w:lvlJc w:val="left"/>
      <w:pPr>
        <w:ind w:left="-360" w:firstLine="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7">
    <w:lvl w:ilvl="0">
      <w:start w:val="1"/>
      <w:numFmt w:val="decimal"/>
      <w:lvlText w:val="%1."/>
      <w:lvlJc w:val="left"/>
      <w:pPr>
        <w:ind w:left="690" w:hanging="360"/>
      </w:pPr>
      <w:rPr>
        <w:sz w:val="20"/>
        <w:szCs w:val="20"/>
        <w:vertAlign w:val="baseline"/>
      </w:rPr>
    </w:lvl>
    <w:lvl w:ilvl="1">
      <w:start w:val="1"/>
      <w:numFmt w:val="lowerLetter"/>
      <w:lvlText w:val="%2/"/>
      <w:lvlJc w:val="left"/>
      <w:pPr>
        <w:ind w:left="1410" w:hanging="360"/>
      </w:pPr>
      <w:rPr>
        <w:sz w:val="20"/>
        <w:szCs w:val="20"/>
        <w:vertAlign w:val="baseline"/>
      </w:rPr>
    </w:lvl>
    <w:lvl w:ilvl="2">
      <w:start w:val="1"/>
      <w:numFmt w:val="lowerRoman"/>
      <w:lvlText w:val="%3."/>
      <w:lvlJc w:val="right"/>
      <w:pPr>
        <w:ind w:left="2130" w:hanging="180"/>
      </w:pPr>
      <w:rPr>
        <w:sz w:val="20"/>
        <w:szCs w:val="20"/>
        <w:vertAlign w:val="baseline"/>
      </w:rPr>
    </w:lvl>
    <w:lvl w:ilvl="3">
      <w:start w:val="1"/>
      <w:numFmt w:val="lowerLetter"/>
      <w:lvlText w:val="%4)"/>
      <w:lvlJc w:val="left"/>
      <w:pPr>
        <w:ind w:left="2850" w:hanging="360"/>
      </w:pPr>
      <w:rPr>
        <w:rFonts w:ascii="Noto Sans Symbols" w:cs="Noto Sans Symbols" w:eastAsia="Noto Sans Symbols" w:hAnsi="Noto Sans Symbols"/>
        <w:sz w:val="20"/>
        <w:szCs w:val="20"/>
        <w:vertAlign w:val="baseline"/>
      </w:rPr>
    </w:lvl>
    <w:lvl w:ilvl="4">
      <w:start w:val="1"/>
      <w:numFmt w:val="lowerLetter"/>
      <w:lvlText w:val="%5."/>
      <w:lvlJc w:val="left"/>
      <w:pPr>
        <w:ind w:left="3570" w:hanging="360"/>
      </w:pPr>
      <w:rPr>
        <w:sz w:val="20"/>
        <w:szCs w:val="20"/>
        <w:vertAlign w:val="baseline"/>
      </w:rPr>
    </w:lvl>
    <w:lvl w:ilvl="5">
      <w:start w:val="1"/>
      <w:numFmt w:val="lowerRoman"/>
      <w:lvlText w:val="%6."/>
      <w:lvlJc w:val="right"/>
      <w:pPr>
        <w:ind w:left="4290" w:hanging="180"/>
      </w:pPr>
      <w:rPr>
        <w:sz w:val="20"/>
        <w:szCs w:val="20"/>
        <w:vertAlign w:val="baseline"/>
      </w:rPr>
    </w:lvl>
    <w:lvl w:ilvl="6">
      <w:start w:val="1"/>
      <w:numFmt w:val="decimal"/>
      <w:lvlText w:val="%7."/>
      <w:lvlJc w:val="left"/>
      <w:pPr>
        <w:ind w:left="5010" w:hanging="360"/>
      </w:pPr>
      <w:rPr>
        <w:sz w:val="20"/>
        <w:szCs w:val="20"/>
        <w:vertAlign w:val="baseline"/>
      </w:rPr>
    </w:lvl>
    <w:lvl w:ilvl="7">
      <w:start w:val="1"/>
      <w:numFmt w:val="bullet"/>
      <w:lvlText w:val="●"/>
      <w:lvlJc w:val="left"/>
      <w:pPr>
        <w:ind w:left="5730" w:hanging="360"/>
      </w:pPr>
      <w:rPr>
        <w:rFonts w:ascii="Noto Sans Symbols" w:cs="Noto Sans Symbols" w:eastAsia="Noto Sans Symbols" w:hAnsi="Noto Sans Symbols"/>
      </w:rPr>
    </w:lvl>
    <w:lvl w:ilvl="8">
      <w:start w:val="1"/>
      <w:numFmt w:val="lowerRoman"/>
      <w:lvlText w:val="%9."/>
      <w:lvlJc w:val="right"/>
      <w:pPr>
        <w:ind w:left="6450" w:hanging="180"/>
      </w:pPr>
      <w:rPr>
        <w:sz w:val="20"/>
        <w:szCs w:val="20"/>
        <w:vertAlign w:val="baseline"/>
      </w:rPr>
    </w:lvl>
  </w:abstractNum>
  <w:abstractNum w:abstractNumId="8">
    <w:lvl w:ilvl="0">
      <w:start w:val="1"/>
      <w:numFmt w:val="decimal"/>
      <w:lvlText w:val="%1."/>
      <w:lvlJc w:val="left"/>
      <w:pPr>
        <w:ind w:left="340" w:hanging="340"/>
      </w:pPr>
      <w:rPr>
        <w:b w:val="1"/>
        <w:i w:val="0"/>
        <w:sz w:val="22"/>
        <w:szCs w:val="22"/>
        <w:vertAlign w:val="baseline"/>
      </w:rPr>
    </w:lvl>
    <w:lvl w:ilvl="1">
      <w:start w:val="15"/>
      <w:numFmt w:val="decimal"/>
      <w:lvlText w:val="%2."/>
      <w:lvlJc w:val="left"/>
      <w:pPr>
        <w:ind w:left="1900" w:hanging="340"/>
      </w:pPr>
      <w:rPr>
        <w:rFonts w:ascii="Calibri" w:cs="Calibri" w:eastAsia="Calibri" w:hAnsi="Calibri"/>
        <w:b w:val="0"/>
        <w:i w:val="0"/>
        <w:color w:val="000000"/>
        <w:sz w:val="20"/>
        <w:szCs w:val="20"/>
        <w:vertAlign w:val="baseline"/>
      </w:rPr>
    </w:lvl>
    <w:lvl w:ilvl="2">
      <w:start w:val="1"/>
      <w:numFmt w:val="lowerLetter"/>
      <w:lvlText w:val="%3)"/>
      <w:lvlJc w:val="left"/>
      <w:pPr>
        <w:ind w:left="2160" w:hanging="180"/>
      </w:pPr>
      <w:rPr>
        <w:sz w:val="20"/>
        <w:szCs w:val="20"/>
        <w:vertAlign w:val="baseline"/>
      </w:rPr>
    </w:lvl>
    <w:lvl w:ilvl="3">
      <w:start w:val="1"/>
      <w:numFmt w:val="lowerLetter"/>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9">
    <w:lvl w:ilvl="0">
      <w:start w:val="1"/>
      <w:numFmt w:val="decimal"/>
      <w:lvlText w:val="%1."/>
      <w:lvlJc w:val="left"/>
      <w:pPr>
        <w:ind w:left="720" w:hanging="360"/>
      </w:pPr>
      <w:rPr>
        <w:sz w:val="20"/>
        <w:szCs w:val="20"/>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0">
    <w:lvl w:ilvl="0">
      <w:start w:val="5"/>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360" w:hanging="36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17">
    <w:lvl w:ilvl="0">
      <w:start w:val="1"/>
      <w:numFmt w:val="lowerLetter"/>
      <w:lvlText w:val="%1)"/>
      <w:lvlJc w:val="left"/>
      <w:pPr>
        <w:ind w:left="1364" w:hanging="360"/>
      </w:pPr>
      <w:rPr/>
    </w:lvl>
    <w:lvl w:ilvl="1">
      <w:start w:val="1"/>
      <w:numFmt w:val="lowerLetter"/>
      <w:lvlText w:val="%2."/>
      <w:lvlJc w:val="left"/>
      <w:pPr>
        <w:ind w:left="2084" w:hanging="360"/>
      </w:pPr>
      <w:rPr/>
    </w:lvl>
    <w:lvl w:ilvl="2">
      <w:start w:val="1"/>
      <w:numFmt w:val="lowerRoman"/>
      <w:lvlText w:val="%3."/>
      <w:lvlJc w:val="right"/>
      <w:pPr>
        <w:ind w:left="2804" w:hanging="180"/>
      </w:pPr>
      <w:rPr/>
    </w:lvl>
    <w:lvl w:ilvl="3">
      <w:start w:val="1"/>
      <w:numFmt w:val="decimal"/>
      <w:lvlText w:val="%4."/>
      <w:lvlJc w:val="left"/>
      <w:pPr>
        <w:ind w:left="3524" w:hanging="360"/>
      </w:pPr>
      <w:rPr/>
    </w:lvl>
    <w:lvl w:ilvl="4">
      <w:start w:val="1"/>
      <w:numFmt w:val="lowerLetter"/>
      <w:lvlText w:val="%5."/>
      <w:lvlJc w:val="left"/>
      <w:pPr>
        <w:ind w:left="4244" w:hanging="360"/>
      </w:pPr>
      <w:rPr/>
    </w:lvl>
    <w:lvl w:ilvl="5">
      <w:start w:val="1"/>
      <w:numFmt w:val="lowerRoman"/>
      <w:lvlText w:val="%6."/>
      <w:lvlJc w:val="right"/>
      <w:pPr>
        <w:ind w:left="4964" w:hanging="180"/>
      </w:pPr>
      <w:rPr/>
    </w:lvl>
    <w:lvl w:ilvl="6">
      <w:start w:val="1"/>
      <w:numFmt w:val="decimal"/>
      <w:lvlText w:val="%7."/>
      <w:lvlJc w:val="left"/>
      <w:pPr>
        <w:ind w:left="5684" w:hanging="360"/>
      </w:pPr>
      <w:rPr/>
    </w:lvl>
    <w:lvl w:ilvl="7">
      <w:start w:val="1"/>
      <w:numFmt w:val="lowerLetter"/>
      <w:lvlText w:val="%8."/>
      <w:lvlJc w:val="left"/>
      <w:pPr>
        <w:ind w:left="6404" w:hanging="360"/>
      </w:pPr>
      <w:rPr/>
    </w:lvl>
    <w:lvl w:ilvl="8">
      <w:start w:val="1"/>
      <w:numFmt w:val="lowerRoman"/>
      <w:lvlText w:val="%9."/>
      <w:lvlJc w:val="right"/>
      <w:pPr>
        <w:ind w:left="7124" w:hanging="180"/>
      </w:pPr>
      <w:rPr/>
    </w:lvl>
  </w:abstractNum>
  <w:abstractNum w:abstractNumId="18">
    <w:lvl w:ilvl="0">
      <w:start w:val="1"/>
      <w:numFmt w:val="lowerRoman"/>
      <w:lvlText w:val="%1."/>
      <w:lvlJc w:val="righ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19">
    <w:lvl w:ilvl="0">
      <w:start w:val="8"/>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2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644" w:hanging="357"/>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decimal"/>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23">
    <w:lvl w:ilvl="0">
      <w:start w:val="1"/>
      <w:numFmt w:val="lowerLetter"/>
      <w:lvlText w:val="%1)"/>
      <w:lvlJc w:val="left"/>
      <w:pPr>
        <w:ind w:left="770" w:hanging="360"/>
      </w:pPr>
      <w:rPr/>
    </w:lvl>
    <w:lvl w:ilvl="1">
      <w:start w:val="1"/>
      <w:numFmt w:val="lowerLetter"/>
      <w:lvlText w:val="%2."/>
      <w:lvlJc w:val="left"/>
      <w:pPr>
        <w:ind w:left="1490" w:hanging="360"/>
      </w:pPr>
      <w:rPr/>
    </w:lvl>
    <w:lvl w:ilvl="2">
      <w:start w:val="1"/>
      <w:numFmt w:val="lowerRoman"/>
      <w:lvlText w:val="%3."/>
      <w:lvlJc w:val="right"/>
      <w:pPr>
        <w:ind w:left="2210" w:hanging="180"/>
      </w:pPr>
      <w:rPr/>
    </w:lvl>
    <w:lvl w:ilvl="3">
      <w:start w:val="1"/>
      <w:numFmt w:val="decimal"/>
      <w:lvlText w:val="%4."/>
      <w:lvlJc w:val="left"/>
      <w:pPr>
        <w:ind w:left="2930" w:hanging="360"/>
      </w:pPr>
      <w:rPr/>
    </w:lvl>
    <w:lvl w:ilvl="4">
      <w:start w:val="1"/>
      <w:numFmt w:val="lowerLetter"/>
      <w:lvlText w:val="%5."/>
      <w:lvlJc w:val="left"/>
      <w:pPr>
        <w:ind w:left="3650" w:hanging="360"/>
      </w:pPr>
      <w:rPr/>
    </w:lvl>
    <w:lvl w:ilvl="5">
      <w:start w:val="1"/>
      <w:numFmt w:val="lowerRoman"/>
      <w:lvlText w:val="%6."/>
      <w:lvlJc w:val="right"/>
      <w:pPr>
        <w:ind w:left="4370" w:hanging="180"/>
      </w:pPr>
      <w:rPr/>
    </w:lvl>
    <w:lvl w:ilvl="6">
      <w:start w:val="1"/>
      <w:numFmt w:val="decimal"/>
      <w:lvlText w:val="%7."/>
      <w:lvlJc w:val="left"/>
      <w:pPr>
        <w:ind w:left="5090" w:hanging="360"/>
      </w:pPr>
      <w:rPr/>
    </w:lvl>
    <w:lvl w:ilvl="7">
      <w:start w:val="1"/>
      <w:numFmt w:val="lowerLetter"/>
      <w:lvlText w:val="%8."/>
      <w:lvlJc w:val="left"/>
      <w:pPr>
        <w:ind w:left="5810" w:hanging="360"/>
      </w:pPr>
      <w:rPr/>
    </w:lvl>
    <w:lvl w:ilvl="8">
      <w:start w:val="1"/>
      <w:numFmt w:val="lowerRoman"/>
      <w:lvlText w:val="%9."/>
      <w:lvlJc w:val="right"/>
      <w:pPr>
        <w:ind w:left="6530" w:hanging="180"/>
      </w:pPr>
      <w:rPr/>
    </w:lvl>
  </w:abstractNum>
  <w:abstractNum w:abstractNumId="24">
    <w:lvl w:ilvl="0">
      <w:start w:val="1"/>
      <w:numFmt w:val="lowerLetter"/>
      <w:lvlText w:val="%1)"/>
      <w:lvlJc w:val="left"/>
      <w:pPr>
        <w:ind w:left="1215" w:hanging="360"/>
      </w:pPr>
      <w:rPr>
        <w:rFonts w:ascii="Calibri" w:cs="Calibri" w:eastAsia="Calibri" w:hAnsi="Calibri"/>
        <w:sz w:val="20"/>
        <w:szCs w:val="20"/>
        <w:vertAlign w:val="baseline"/>
      </w:rPr>
    </w:lvl>
    <w:lvl w:ilvl="1">
      <w:start w:val="1"/>
      <w:numFmt w:val="bullet"/>
      <w:lvlText w:val="o"/>
      <w:lvlJc w:val="left"/>
      <w:pPr>
        <w:ind w:left="1935" w:hanging="360"/>
      </w:pPr>
      <w:rPr>
        <w:rFonts w:ascii="Courier New" w:cs="Courier New" w:eastAsia="Courier New" w:hAnsi="Courier New"/>
      </w:rPr>
    </w:lvl>
    <w:lvl w:ilvl="2">
      <w:start w:val="1"/>
      <w:numFmt w:val="bullet"/>
      <w:lvlText w:val="▪"/>
      <w:lvlJc w:val="left"/>
      <w:pPr>
        <w:ind w:left="2655" w:hanging="360"/>
      </w:pPr>
      <w:rPr>
        <w:rFonts w:ascii="Noto Sans Symbols" w:cs="Noto Sans Symbols" w:eastAsia="Noto Sans Symbols" w:hAnsi="Noto Sans Symbols"/>
      </w:rPr>
    </w:lvl>
    <w:lvl w:ilvl="3">
      <w:start w:val="1"/>
      <w:numFmt w:val="bullet"/>
      <w:lvlText w:val="●"/>
      <w:lvlJc w:val="left"/>
      <w:pPr>
        <w:ind w:left="3375" w:hanging="360"/>
      </w:pPr>
      <w:rPr>
        <w:rFonts w:ascii="Noto Sans Symbols" w:cs="Noto Sans Symbols" w:eastAsia="Noto Sans Symbols" w:hAnsi="Noto Sans Symbols"/>
      </w:rPr>
    </w:lvl>
    <w:lvl w:ilvl="4">
      <w:start w:val="1"/>
      <w:numFmt w:val="bullet"/>
      <w:lvlText w:val="o"/>
      <w:lvlJc w:val="left"/>
      <w:pPr>
        <w:ind w:left="4095" w:hanging="360"/>
      </w:pPr>
      <w:rPr>
        <w:rFonts w:ascii="Courier New" w:cs="Courier New" w:eastAsia="Courier New" w:hAnsi="Courier New"/>
      </w:rPr>
    </w:lvl>
    <w:lvl w:ilvl="5">
      <w:start w:val="1"/>
      <w:numFmt w:val="bullet"/>
      <w:lvlText w:val="▪"/>
      <w:lvlJc w:val="left"/>
      <w:pPr>
        <w:ind w:left="4815" w:hanging="360"/>
      </w:pPr>
      <w:rPr>
        <w:rFonts w:ascii="Noto Sans Symbols" w:cs="Noto Sans Symbols" w:eastAsia="Noto Sans Symbols" w:hAnsi="Noto Sans Symbols"/>
      </w:rPr>
    </w:lvl>
    <w:lvl w:ilvl="6">
      <w:start w:val="1"/>
      <w:numFmt w:val="bullet"/>
      <w:lvlText w:val="●"/>
      <w:lvlJc w:val="left"/>
      <w:pPr>
        <w:ind w:left="5535" w:hanging="360"/>
      </w:pPr>
      <w:rPr>
        <w:rFonts w:ascii="Noto Sans Symbols" w:cs="Noto Sans Symbols" w:eastAsia="Noto Sans Symbols" w:hAnsi="Noto Sans Symbols"/>
      </w:rPr>
    </w:lvl>
    <w:lvl w:ilvl="7">
      <w:start w:val="1"/>
      <w:numFmt w:val="bullet"/>
      <w:lvlText w:val="o"/>
      <w:lvlJc w:val="left"/>
      <w:pPr>
        <w:ind w:left="6255" w:hanging="360"/>
      </w:pPr>
      <w:rPr>
        <w:rFonts w:ascii="Courier New" w:cs="Courier New" w:eastAsia="Courier New" w:hAnsi="Courier New"/>
      </w:rPr>
    </w:lvl>
    <w:lvl w:ilvl="8">
      <w:start w:val="1"/>
      <w:numFmt w:val="bullet"/>
      <w:lvlText w:val="▪"/>
      <w:lvlJc w:val="left"/>
      <w:pPr>
        <w:ind w:left="6975" w:hanging="360"/>
      </w:pPr>
      <w:rPr>
        <w:rFonts w:ascii="Noto Sans Symbols" w:cs="Noto Sans Symbols" w:eastAsia="Noto Sans Symbols" w:hAnsi="Noto Sans Symbols"/>
      </w:rPr>
    </w:lvl>
  </w:abstractNum>
  <w:abstractNum w:abstractNumId="25">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26">
    <w:lvl w:ilvl="0">
      <w:start w:val="1"/>
      <w:numFmt w:val="decimal"/>
      <w:lvlText w:val=""/>
      <w:lvlJc w:val="left"/>
      <w:pPr>
        <w:ind w:left="432" w:hanging="432"/>
      </w:pPr>
      <w:rPr>
        <w:sz w:val="20"/>
        <w:szCs w:val="20"/>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0">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3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3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4">
    <w:lvl w:ilvl="0">
      <w:start w:val="1"/>
      <w:numFmt w:val="decimal"/>
      <w:lvlText w:val="%1)"/>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decimal"/>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36">
    <w:lvl w:ilvl="0">
      <w:start w:val="1"/>
      <w:numFmt w:val="decimal"/>
      <w:lvlText w:val="%1."/>
      <w:lvlJc w:val="left"/>
      <w:pPr>
        <w:ind w:left="340" w:hanging="340"/>
      </w:pPr>
      <w:rPr>
        <w:rFonts w:ascii="Calibri" w:cs="Calibri" w:eastAsia="Calibri" w:hAnsi="Calibri"/>
        <w:b w:val="0"/>
        <w:i w:val="0"/>
        <w:sz w:val="22"/>
        <w:szCs w:val="22"/>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1080" w:hanging="360"/>
      </w:pPr>
      <w:rPr>
        <w:sz w:val="20"/>
        <w:szCs w:val="20"/>
        <w:vertAlign w:val="baseline"/>
      </w:rPr>
    </w:lvl>
    <w:lvl w:ilvl="1">
      <w:start w:val="1"/>
      <w:numFmt w:val="lowerLetter"/>
      <w:lvlText w:val="%2."/>
      <w:lvlJc w:val="left"/>
      <w:pPr>
        <w:ind w:left="1800" w:hanging="360"/>
      </w:pPr>
      <w:rPr>
        <w:sz w:val="20"/>
        <w:szCs w:val="20"/>
        <w:vertAlign w:val="baseline"/>
      </w:rPr>
    </w:lvl>
    <w:lvl w:ilvl="2">
      <w:start w:val="1"/>
      <w:numFmt w:val="lowerRoman"/>
      <w:lvlText w:val="%3."/>
      <w:lvlJc w:val="right"/>
      <w:pPr>
        <w:ind w:left="2520" w:hanging="180"/>
      </w:pPr>
      <w:rPr>
        <w:sz w:val="20"/>
        <w:szCs w:val="20"/>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41">
    <w:lvl w:ilvl="0">
      <w:start w:val="1"/>
      <w:numFmt w:val="decimal"/>
      <w:lvlText w:val="%1."/>
      <w:lvlJc w:val="left"/>
      <w:pPr>
        <w:ind w:left="720" w:hanging="360"/>
      </w:pPr>
      <w:rPr>
        <w:rFonts w:ascii="Calibri" w:cs="Calibri" w:eastAsia="Calibri" w:hAnsi="Calibri"/>
        <w:sz w:val="20"/>
        <w:szCs w:val="20"/>
        <w:vertAlign w:val="baseline"/>
      </w:rPr>
    </w:lvl>
    <w:lvl w:ilvl="1">
      <w:start w:val="1"/>
      <w:numFmt w:val="decimal"/>
      <w:lvlText w:val="%2."/>
      <w:lvlJc w:val="left"/>
      <w:pPr>
        <w:ind w:left="1440" w:hanging="360"/>
      </w:pPr>
      <w:rPr>
        <w:b w:val="0"/>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42">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1.%2.%3."/>
      <w:lvlJc w:val="right"/>
      <w:pPr>
        <w:ind w:left="2226" w:hanging="180"/>
      </w:pPr>
      <w:rPr/>
    </w:lvl>
    <w:lvl w:ilvl="3">
      <w:start w:val="1"/>
      <w:numFmt w:val="decimal"/>
      <w:lvlText w:val="%1.%2.%3.%4."/>
      <w:lvlJc w:val="left"/>
      <w:pPr>
        <w:ind w:left="2946" w:hanging="360"/>
      </w:pPr>
      <w:rPr/>
    </w:lvl>
    <w:lvl w:ilvl="4">
      <w:start w:val="1"/>
      <w:numFmt w:val="lowerLetter"/>
      <w:lvlText w:val="%1.%2.%3.%4.%5."/>
      <w:lvlJc w:val="left"/>
      <w:pPr>
        <w:ind w:left="3666" w:hanging="360"/>
      </w:pPr>
      <w:rPr/>
    </w:lvl>
    <w:lvl w:ilvl="5">
      <w:start w:val="1"/>
      <w:numFmt w:val="lowerRoman"/>
      <w:lvlText w:val="%1.%2.%3.%4.%5.%6."/>
      <w:lvlJc w:val="right"/>
      <w:pPr>
        <w:ind w:left="4386" w:hanging="180"/>
      </w:pPr>
      <w:rPr/>
    </w:lvl>
    <w:lvl w:ilvl="6">
      <w:start w:val="1"/>
      <w:numFmt w:val="decimal"/>
      <w:lvlText w:val="%1.%2.%3.%4.%5.%6.%7."/>
      <w:lvlJc w:val="left"/>
      <w:pPr>
        <w:ind w:left="5106" w:hanging="360"/>
      </w:pPr>
      <w:rPr/>
    </w:lvl>
    <w:lvl w:ilvl="7">
      <w:start w:val="1"/>
      <w:numFmt w:val="lowerLetter"/>
      <w:lvlText w:val="%1.%2.%3.%4.%5.%6.%7.%8."/>
      <w:lvlJc w:val="left"/>
      <w:pPr>
        <w:ind w:left="5826" w:hanging="360"/>
      </w:pPr>
      <w:rPr/>
    </w:lvl>
    <w:lvl w:ilvl="8">
      <w:start w:val="1"/>
      <w:numFmt w:val="lowerRoman"/>
      <w:lvlText w:val="%1.%2.%3.%4.%5.%6.%7.%8.%9."/>
      <w:lvlJc w:val="right"/>
      <w:pPr>
        <w:ind w:left="6546" w:hanging="180"/>
      </w:pPr>
      <w:rPr/>
    </w:lvl>
  </w:abstractNum>
  <w:abstractNum w:abstractNumId="4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49">
    <w:lvl w:ilvl="0">
      <w:start w:val="1"/>
      <w:numFmt w:val="decimal"/>
      <w:lvlText w:val="%1."/>
      <w:lvlJc w:val="left"/>
      <w:pPr>
        <w:ind w:left="1080" w:hanging="360"/>
      </w:pPr>
      <w:rPr>
        <w:sz w:val="20"/>
        <w:szCs w:val="20"/>
        <w:vertAlign w:val="baseline"/>
      </w:rPr>
    </w:lvl>
    <w:lvl w:ilvl="1">
      <w:start w:val="1"/>
      <w:numFmt w:val="lowerLetter"/>
      <w:lvlText w:val="%2."/>
      <w:lvlJc w:val="left"/>
      <w:pPr>
        <w:ind w:left="1800" w:hanging="360"/>
      </w:pPr>
      <w:rPr>
        <w:sz w:val="20"/>
        <w:szCs w:val="20"/>
        <w:vertAlign w:val="baseline"/>
      </w:rPr>
    </w:lvl>
    <w:lvl w:ilvl="2">
      <w:start w:val="1"/>
      <w:numFmt w:val="lowerRoman"/>
      <w:lvlText w:val="%3."/>
      <w:lvlJc w:val="right"/>
      <w:pPr>
        <w:ind w:left="2520" w:hanging="180"/>
      </w:pPr>
      <w:rPr>
        <w:sz w:val="20"/>
        <w:szCs w:val="20"/>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50">
    <w:lvl w:ilvl="0">
      <w:start w:val="1"/>
      <w:numFmt w:val="decimal"/>
      <w:lvlText w:val="%1."/>
      <w:lvlJc w:val="left"/>
      <w:pPr>
        <w:ind w:left="360" w:hanging="360"/>
      </w:pPr>
      <w:rPr>
        <w:rFonts w:ascii="Calibri" w:cs="Calibri" w:eastAsia="Calibri" w:hAnsi="Calibri"/>
      </w:rPr>
    </w:lvl>
    <w:lvl w:ilvl="1">
      <w:start w:val="1"/>
      <w:numFmt w:val="decimal"/>
      <w:lvlText w:val="%2)"/>
      <w:lvlJc w:val="left"/>
      <w:pPr>
        <w:ind w:left="720" w:hanging="360"/>
      </w:pPr>
      <w:rPr>
        <w:rFonts w:ascii="Calibri" w:cs="Calibri" w:eastAsia="Calibri" w:hAnsi="Calibri"/>
      </w:rPr>
    </w:lvl>
    <w:lvl w:ilvl="2">
      <w:start w:val="1"/>
      <w:numFmt w:val="lowerLetter"/>
      <w:lvlText w:val="%3)"/>
      <w:lvlJc w:val="left"/>
      <w:pPr>
        <w:ind w:left="1080" w:hanging="360"/>
      </w:pPr>
      <w:rPr>
        <w:rFonts w:ascii="Calibri" w:cs="Calibri" w:eastAsia="Calibri" w:hAnsi="Calibri"/>
      </w:rPr>
    </w:lvl>
    <w:lvl w:ilvl="3">
      <w:start w:val="1"/>
      <w:numFmt w:val="lowerLetter"/>
      <w:lvlText w:val="%4)"/>
      <w:lvlJc w:val="left"/>
      <w:pPr>
        <w:ind w:left="1440" w:hanging="360"/>
      </w:pPr>
      <w:rPr>
        <w:rFonts w:ascii="Calibri" w:cs="Calibri" w:eastAsia="Calibri" w:hAnsi="Calibri"/>
      </w:rPr>
    </w:lvl>
    <w:lvl w:ilvl="4">
      <w:start w:val="1"/>
      <w:numFmt w:val="lowerLetter"/>
      <w:lvlText w:val="(%5)"/>
      <w:lvlJc w:val="left"/>
      <w:pPr>
        <w:ind w:left="1800" w:hanging="360"/>
      </w:pPr>
      <w:rPr>
        <w:rFonts w:ascii="Calibri" w:cs="Calibri" w:eastAsia="Calibri" w:hAnsi="Calibri"/>
      </w:rPr>
    </w:lvl>
    <w:lvl w:ilvl="5">
      <w:start w:val="1"/>
      <w:numFmt w:val="lowerRoman"/>
      <w:lvlText w:val="(%6)"/>
      <w:lvlJc w:val="left"/>
      <w:pPr>
        <w:ind w:left="2160" w:hanging="360"/>
      </w:pPr>
      <w:rPr>
        <w:rFonts w:ascii="Calibri" w:cs="Calibri" w:eastAsia="Calibri" w:hAnsi="Calibri"/>
      </w:rPr>
    </w:lvl>
    <w:lvl w:ilvl="6">
      <w:start w:val="1"/>
      <w:numFmt w:val="decimal"/>
      <w:lvlText w:val="%7."/>
      <w:lvlJc w:val="left"/>
      <w:pPr>
        <w:ind w:left="2520" w:hanging="360"/>
      </w:pPr>
      <w:rPr>
        <w:rFonts w:ascii="Calibri" w:cs="Calibri" w:eastAsia="Calibri" w:hAnsi="Calibri"/>
      </w:rPr>
    </w:lvl>
    <w:lvl w:ilvl="7">
      <w:start w:val="1"/>
      <w:numFmt w:val="lowerLetter"/>
      <w:lvlText w:val="%8."/>
      <w:lvlJc w:val="left"/>
      <w:pPr>
        <w:ind w:left="2880" w:hanging="360"/>
      </w:pPr>
      <w:rPr>
        <w:rFonts w:ascii="Calibri" w:cs="Calibri" w:eastAsia="Calibri" w:hAnsi="Calibri"/>
      </w:rPr>
    </w:lvl>
    <w:lvl w:ilvl="8">
      <w:start w:val="1"/>
      <w:numFmt w:val="lowerRoman"/>
      <w:lvlText w:val="%9."/>
      <w:lvlJc w:val="left"/>
      <w:pPr>
        <w:ind w:left="3240" w:hanging="360"/>
      </w:pPr>
      <w:rPr>
        <w:rFonts w:ascii="Calibri" w:cs="Calibri" w:eastAsia="Calibri" w:hAnsi="Calibri"/>
      </w:rPr>
    </w:lvl>
  </w:abstractNum>
  <w:abstractNum w:abstractNumId="51">
    <w:lvl w:ilvl="0">
      <w:start w:val="1"/>
      <w:numFmt w:val="decimal"/>
      <w:lvlText w:val="%1."/>
      <w:lvlJc w:val="left"/>
      <w:pPr>
        <w:ind w:left="340" w:hanging="340"/>
      </w:pPr>
      <w:rPr>
        <w:b w:val="0"/>
        <w:i w:val="0"/>
        <w:sz w:val="22"/>
        <w:szCs w:val="22"/>
        <w:vertAlign w:val="baseline"/>
      </w:rPr>
    </w:lvl>
    <w:lvl w:ilvl="1">
      <w:start w:val="1"/>
      <w:numFmt w:val="decimal"/>
      <w:lvlText w:val="%2."/>
      <w:lvlJc w:val="left"/>
      <w:pPr>
        <w:ind w:left="3318" w:hanging="340"/>
      </w:pPr>
      <w:rPr>
        <w:rFonts w:ascii="Calibri" w:cs="Calibri" w:eastAsia="Calibri" w:hAnsi="Calibri"/>
        <w:b w:val="0"/>
        <w:i w:val="0"/>
        <w:color w:val="000000"/>
        <w:sz w:val="20"/>
        <w:szCs w:val="20"/>
        <w:vertAlign w:val="baseline"/>
      </w:rPr>
    </w:lvl>
    <w:lvl w:ilvl="2">
      <w:start w:val="1"/>
      <w:numFmt w:val="lowerLetter"/>
      <w:lvlText w:val="%3)"/>
      <w:lvlJc w:val="left"/>
      <w:pPr>
        <w:ind w:left="2160" w:hanging="180"/>
      </w:pPr>
      <w:rPr>
        <w:sz w:val="20"/>
        <w:szCs w:val="20"/>
        <w:vertAlign w:val="baseline"/>
      </w:rPr>
    </w:lvl>
    <w:lvl w:ilvl="3">
      <w:start w:val="1"/>
      <w:numFmt w:val="lowerLetter"/>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lowerLetter"/>
      <w:lvlText w:val="%1)"/>
      <w:lvlJc w:val="left"/>
      <w:pPr>
        <w:ind w:left="1080" w:hanging="360"/>
      </w:pPr>
      <w:rPr>
        <w:rFonts w:ascii="Calibri" w:cs="Calibri" w:eastAsia="Calibri" w:hAnsi="Calibri"/>
        <w:sz w:val="20"/>
        <w:szCs w:val="20"/>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vertAlign w:val="subscript"/>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vertAlign w:val="subscript"/>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vertAlign w:val="subscript"/>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vertAlign w:val="subscript"/>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vertAlign w:val="subscript"/>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vertAlign w:val="subscript"/>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paragraph" w:styleId="Normalny" w:default="1">
    <w:name w:val="Normal"/>
    <w:qFormat w:val="1"/>
  </w:style>
  <w:style w:type="paragraph" w:styleId="Nagwek1">
    <w:name w:val="heading 1"/>
    <w:basedOn w:val="Normalny"/>
    <w:next w:val="Normalny"/>
    <w:uiPriority w:val="9"/>
    <w:qFormat w:val="1"/>
    <w:pPr>
      <w:keepNext w:val="1"/>
      <w:widowControl w:val="0"/>
      <w:pBdr>
        <w:top w:space="0" w:sz="0" w:val="nil"/>
        <w:left w:space="0" w:sz="0" w:val="nil"/>
        <w:bottom w:space="0" w:sz="0" w:val="nil"/>
        <w:right w:space="0" w:sz="0" w:val="nil"/>
        <w:between w:space="0" w:sz="0" w:val="nil"/>
      </w:pBdr>
      <w:ind w:hanging="1"/>
      <w:outlineLvl w:val="0"/>
    </w:pPr>
    <w:rPr>
      <w:rFonts w:ascii="Arial" w:cs="Arial" w:eastAsia="Arial" w:hAnsi="Arial"/>
      <w:color w:val="000000"/>
      <w:sz w:val="24"/>
      <w:szCs w:val="24"/>
      <w:vertAlign w:val="subscript"/>
    </w:rPr>
  </w:style>
  <w:style w:type="paragraph" w:styleId="Nagwek2">
    <w:name w:val="heading 2"/>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both"/>
      <w:outlineLvl w:val="1"/>
    </w:pPr>
    <w:rPr>
      <w:rFonts w:ascii="Arial" w:cs="Arial" w:eastAsia="Arial" w:hAnsi="Arial"/>
      <w:b w:val="1"/>
      <w:color w:val="000000"/>
      <w:sz w:val="24"/>
      <w:szCs w:val="24"/>
      <w:vertAlign w:val="subscript"/>
    </w:rPr>
  </w:style>
  <w:style w:type="paragraph" w:styleId="Nagwek3">
    <w:name w:val="heading 3"/>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outlineLvl w:val="2"/>
    </w:pPr>
    <w:rPr>
      <w:b w:val="1"/>
      <w:color w:val="000000"/>
      <w:sz w:val="24"/>
      <w:szCs w:val="24"/>
      <w:vertAlign w:val="subscript"/>
    </w:rPr>
  </w:style>
  <w:style w:type="paragraph" w:styleId="Nagwek4">
    <w:name w:val="heading 4"/>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right"/>
      <w:outlineLvl w:val="3"/>
    </w:pPr>
    <w:rPr>
      <w:color w:val="000000"/>
      <w:sz w:val="28"/>
      <w:szCs w:val="28"/>
      <w:vertAlign w:val="subscript"/>
    </w:rPr>
  </w:style>
  <w:style w:type="paragraph" w:styleId="Nagwek5">
    <w:name w:val="heading 5"/>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center"/>
      <w:outlineLvl w:val="4"/>
    </w:pPr>
    <w:rPr>
      <w:rFonts w:ascii="Arial" w:cs="Arial" w:eastAsia="Arial" w:hAnsi="Arial"/>
      <w:b w:val="1"/>
      <w:color w:val="000000"/>
      <w:sz w:val="24"/>
      <w:szCs w:val="24"/>
      <w:vertAlign w:val="subscript"/>
    </w:rPr>
  </w:style>
  <w:style w:type="paragraph" w:styleId="Nagwek6">
    <w:name w:val="heading 6"/>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outlineLvl w:val="5"/>
    </w:pPr>
    <w:rPr>
      <w:b w:val="1"/>
      <w:color w:val="000000"/>
      <w:sz w:val="32"/>
      <w:szCs w:val="32"/>
      <w:vertAlign w:val="subscript"/>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f3"/>
    <w:tblPr>
      <w:tblStyleRowBandSize w:val="1"/>
      <w:tblStyleColBandSize w:val="1"/>
      <w:tblCellMar>
        <w:left w:w="115.0" w:type="dxa"/>
        <w:right w:w="115.0" w:type="dxa"/>
      </w:tblCellMar>
    </w:tblPr>
  </w:style>
  <w:style w:type="table" w:styleId="a0" w:customStyle="1">
    <w:basedOn w:val="TableNormalf3"/>
    <w:tblPr>
      <w:tblStyleRowBandSize w:val="1"/>
      <w:tblStyleColBandSize w:val="1"/>
      <w:tblCellMar>
        <w:left w:w="115.0" w:type="dxa"/>
        <w:right w:w="115.0" w:type="dxa"/>
      </w:tblCellMar>
    </w:tblPr>
  </w:style>
  <w:style w:type="table" w:styleId="a1" w:customStyle="1">
    <w:basedOn w:val="TableNormalf3"/>
    <w:tblPr>
      <w:tblStyleRowBandSize w:val="1"/>
      <w:tblStyleColBandSize w:val="1"/>
      <w:tblCellMar>
        <w:left w:w="115.0" w:type="dxa"/>
        <w:right w:w="115.0" w:type="dxa"/>
      </w:tblCellMar>
    </w:tblPr>
  </w:style>
  <w:style w:type="table" w:styleId="a2" w:customStyle="1">
    <w:basedOn w:val="TableNormalf3"/>
    <w:tblPr>
      <w:tblStyleRowBandSize w:val="1"/>
      <w:tblStyleColBandSize w:val="1"/>
      <w:tblCellMar>
        <w:left w:w="115.0" w:type="dxa"/>
        <w:right w:w="115.0" w:type="dxa"/>
      </w:tblCellMar>
    </w:tblPr>
  </w:style>
  <w:style w:type="table" w:styleId="a3" w:customStyle="1">
    <w:basedOn w:val="TableNormalf3"/>
    <w:tblPr>
      <w:tblStyleRowBandSize w:val="1"/>
      <w:tblStyleColBandSize w:val="1"/>
      <w:tblCellMar>
        <w:left w:w="115.0" w:type="dxa"/>
        <w:right w:w="115.0" w:type="dxa"/>
      </w:tblCellMar>
    </w:tblPr>
  </w:style>
  <w:style w:type="table" w:styleId="a4" w:customStyle="1">
    <w:basedOn w:val="TableNormalf3"/>
    <w:tblPr>
      <w:tblStyleRowBandSize w:val="1"/>
      <w:tblStyleColBandSize w:val="1"/>
      <w:tblCellMar>
        <w:left w:w="115.0" w:type="dxa"/>
        <w:right w:w="115.0" w:type="dxa"/>
      </w:tblCellMar>
    </w:tblPr>
  </w:style>
  <w:style w:type="table" w:styleId="a5" w:customStyle="1">
    <w:basedOn w:val="TableNormalf3"/>
    <w:tblPr>
      <w:tblStyleRowBandSize w:val="1"/>
      <w:tblStyleColBandSize w:val="1"/>
      <w:tblCellMar>
        <w:left w:w="115.0" w:type="dxa"/>
        <w:right w:w="115.0" w:type="dxa"/>
      </w:tblCellMar>
    </w:tblPr>
  </w:style>
  <w:style w:type="table" w:styleId="a6" w:customStyle="1">
    <w:basedOn w:val="TableNormalf3"/>
    <w:tblPr>
      <w:tblStyleRowBandSize w:val="1"/>
      <w:tblStyleColBandSize w:val="1"/>
      <w:tblCellMar>
        <w:left w:w="115.0" w:type="dxa"/>
        <w:right w:w="115.0" w:type="dxa"/>
      </w:tblCellMar>
    </w:tblPr>
  </w:style>
  <w:style w:type="paragraph" w:styleId="Tekstkomentarza">
    <w:name w:val="annotation text"/>
    <w:basedOn w:val="Normalny"/>
    <w:link w:val="TekstkomentarzaZnak3"/>
    <w:uiPriority w:val="99"/>
    <w:unhideWhenUsed w:val="1"/>
  </w:style>
  <w:style w:type="character" w:styleId="TekstkomentarzaZnak" w:customStyle="1">
    <w:name w:val="Tekst komentarza Znak"/>
    <w:basedOn w:val="Domylnaczcionkaakapitu"/>
    <w:uiPriority w:val="99"/>
    <w:semiHidden w:val="1"/>
  </w:style>
  <w:style w:type="character" w:styleId="Odwoaniedokomentarza">
    <w:name w:val="annotation reference"/>
    <w:uiPriority w:val="99"/>
    <w:semiHidden w:val="1"/>
    <w:unhideWhenUsed w:val="1"/>
    <w:rPr>
      <w:sz w:val="16"/>
      <w:szCs w:val="16"/>
    </w:rPr>
  </w:style>
  <w:style w:type="paragraph" w:styleId="Tekstdymka">
    <w:name w:val="Balloon Text"/>
    <w:basedOn w:val="Normalny"/>
    <w:link w:val="TekstdymkaZnak"/>
    <w:uiPriority w:val="99"/>
    <w:semiHidden w:val="1"/>
    <w:unhideWhenUsed w:val="1"/>
    <w:rsid w:val="00562B4B"/>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562B4B"/>
    <w:rPr>
      <w:rFonts w:ascii="Segoe UI" w:cs="Segoe UI" w:hAnsi="Segoe UI"/>
      <w:sz w:val="18"/>
      <w:szCs w:val="18"/>
    </w:rPr>
  </w:style>
  <w:style w:type="paragraph" w:styleId="Tematkomentarza">
    <w:name w:val="annotation subject"/>
    <w:basedOn w:val="Tekstkomentarza"/>
    <w:next w:val="Tekstkomentarza"/>
    <w:link w:val="TematkomentarzaZnak3"/>
    <w:uiPriority w:val="99"/>
    <w:semiHidden w:val="1"/>
    <w:unhideWhenUsed w:val="1"/>
    <w:rPr>
      <w:b w:val="1"/>
      <w:bCs w:val="1"/>
    </w:rPr>
  </w:style>
  <w:style w:type="character" w:styleId="TematkomentarzaZnak" w:customStyle="1">
    <w:name w:val="Temat komentarza Znak"/>
    <w:basedOn w:val="TekstkomentarzaZnak"/>
    <w:uiPriority w:val="99"/>
    <w:semiHidden w:val="1"/>
    <w:rsid w:val="00EA343E"/>
    <w:rPr>
      <w:b w:val="1"/>
      <w:bCs w:val="1"/>
    </w:rPr>
  </w:style>
  <w:style w:type="paragraph" w:styleId="Akapitzlist">
    <w:name w:val="List Paragraph"/>
    <w:basedOn w:val="Normalny"/>
    <w:uiPriority w:val="34"/>
    <w:qFormat w:val="1"/>
    <w:rsid w:val="006A77A8"/>
    <w:pPr>
      <w:ind w:left="720"/>
      <w:contextualSpacing w:val="1"/>
    </w:pPr>
  </w:style>
  <w:style w:type="table" w:styleId="a7" w:customStyle="1">
    <w:basedOn w:val="TableNormalf2"/>
    <w:tblPr>
      <w:tblStyleRowBandSize w:val="1"/>
      <w:tblStyleColBandSize w:val="1"/>
      <w:tblCellMar>
        <w:left w:w="115.0" w:type="dxa"/>
        <w:right w:w="115.0" w:type="dxa"/>
      </w:tblCellMar>
    </w:tblPr>
  </w:style>
  <w:style w:type="table" w:styleId="a8" w:customStyle="1">
    <w:basedOn w:val="TableNormalf2"/>
    <w:tblPr>
      <w:tblStyleRowBandSize w:val="1"/>
      <w:tblStyleColBandSize w:val="1"/>
      <w:tblCellMar>
        <w:left w:w="115.0" w:type="dxa"/>
        <w:right w:w="115.0" w:type="dxa"/>
      </w:tblCellMar>
    </w:tblPr>
  </w:style>
  <w:style w:type="table" w:styleId="a9" w:customStyle="1">
    <w:basedOn w:val="TableNormalf2"/>
    <w:tblPr>
      <w:tblStyleRowBandSize w:val="1"/>
      <w:tblStyleColBandSize w:val="1"/>
      <w:tblCellMar>
        <w:left w:w="115.0" w:type="dxa"/>
        <w:right w:w="115.0" w:type="dxa"/>
      </w:tblCellMar>
    </w:tblPr>
  </w:style>
  <w:style w:type="table" w:styleId="aa" w:customStyle="1">
    <w:basedOn w:val="TableNormalf2"/>
    <w:tblPr>
      <w:tblStyleRowBandSize w:val="1"/>
      <w:tblStyleColBandSize w:val="1"/>
      <w:tblCellMar>
        <w:left w:w="115.0" w:type="dxa"/>
        <w:right w:w="115.0" w:type="dxa"/>
      </w:tblCellMar>
    </w:tblPr>
  </w:style>
  <w:style w:type="table" w:styleId="ab" w:customStyle="1">
    <w:basedOn w:val="TableNormalf1"/>
    <w:tblPr>
      <w:tblStyleRowBandSize w:val="1"/>
      <w:tblStyleColBandSize w:val="1"/>
      <w:tblCellMar>
        <w:left w:w="115.0" w:type="dxa"/>
        <w:right w:w="115.0" w:type="dxa"/>
      </w:tblCellMar>
    </w:tblPr>
  </w:style>
  <w:style w:type="table" w:styleId="ac" w:customStyle="1">
    <w:basedOn w:val="TableNormalf1"/>
    <w:tblPr>
      <w:tblStyleRowBandSize w:val="1"/>
      <w:tblStyleColBandSize w:val="1"/>
      <w:tblCellMar>
        <w:left w:w="115.0" w:type="dxa"/>
        <w:right w:w="115.0" w:type="dxa"/>
      </w:tblCellMar>
    </w:tblPr>
  </w:style>
  <w:style w:type="table" w:styleId="ad" w:customStyle="1">
    <w:basedOn w:val="TableNormalf1"/>
    <w:tblPr>
      <w:tblStyleRowBandSize w:val="1"/>
      <w:tblStyleColBandSize w:val="1"/>
      <w:tblCellMar>
        <w:left w:w="115.0" w:type="dxa"/>
        <w:right w:w="115.0" w:type="dxa"/>
      </w:tblCellMar>
    </w:tblPr>
  </w:style>
  <w:style w:type="table" w:styleId="ae" w:customStyle="1">
    <w:basedOn w:val="TableNormalf1"/>
    <w:tblPr>
      <w:tblStyleRowBandSize w:val="1"/>
      <w:tblStyleColBandSize w:val="1"/>
      <w:tblCellMar>
        <w:left w:w="115.0" w:type="dxa"/>
        <w:right w:w="115.0" w:type="dxa"/>
      </w:tblCellMar>
    </w:tblPr>
  </w:style>
  <w:style w:type="table" w:styleId="af" w:customStyle="1">
    <w:basedOn w:val="TableNormalf1"/>
    <w:tblPr>
      <w:tblStyleRowBandSize w:val="1"/>
      <w:tblStyleColBandSize w:val="1"/>
      <w:tblCellMar>
        <w:left w:w="115.0" w:type="dxa"/>
        <w:right w:w="115.0" w:type="dxa"/>
      </w:tblCellMar>
    </w:tblPr>
  </w:style>
  <w:style w:type="table" w:styleId="af0" w:customStyle="1">
    <w:basedOn w:val="TableNormalf1"/>
    <w:tblPr>
      <w:tblStyleRowBandSize w:val="1"/>
      <w:tblStyleColBandSize w:val="1"/>
      <w:tblCellMar>
        <w:left w:w="115.0" w:type="dxa"/>
        <w:right w:w="115.0" w:type="dxa"/>
      </w:tblCellMar>
    </w:tblPr>
  </w:style>
  <w:style w:type="table" w:styleId="af1" w:customStyle="1">
    <w:basedOn w:val="TableNormalf1"/>
    <w:tblPr>
      <w:tblStyleRowBandSize w:val="1"/>
      <w:tblStyleColBandSize w:val="1"/>
      <w:tblCellMar>
        <w:left w:w="115.0" w:type="dxa"/>
        <w:right w:w="115.0" w:type="dxa"/>
      </w:tblCellMar>
    </w:tblPr>
  </w:style>
  <w:style w:type="table" w:styleId="af2" w:customStyle="1">
    <w:basedOn w:val="TableNormalf1"/>
    <w:tblPr>
      <w:tblStyleRowBandSize w:val="1"/>
      <w:tblStyleColBandSize w:val="1"/>
      <w:tblCellMar>
        <w:left w:w="115.0" w:type="dxa"/>
        <w:right w:w="115.0" w:type="dxa"/>
      </w:tblCellMar>
    </w:tblPr>
  </w:style>
  <w:style w:type="table" w:styleId="af3" w:customStyle="1">
    <w:basedOn w:val="TableNormalf1"/>
    <w:tblPr>
      <w:tblStyleRowBandSize w:val="1"/>
      <w:tblStyleColBandSize w:val="1"/>
      <w:tblCellMar>
        <w:left w:w="115.0" w:type="dxa"/>
        <w:right w:w="115.0" w:type="dxa"/>
      </w:tblCellMar>
    </w:tblPr>
  </w:style>
  <w:style w:type="table" w:styleId="af4" w:customStyle="1">
    <w:basedOn w:val="TableNormalf1"/>
    <w:tblPr>
      <w:tblStyleRowBandSize w:val="1"/>
      <w:tblStyleColBandSize w:val="1"/>
      <w:tblCellMar>
        <w:left w:w="115.0" w:type="dxa"/>
        <w:right w:w="115.0" w:type="dxa"/>
      </w:tblCellMar>
    </w:tblPr>
  </w:style>
  <w:style w:type="table" w:styleId="af5" w:customStyle="1">
    <w:basedOn w:val="TableNormalf1"/>
    <w:tblPr>
      <w:tblStyleRowBandSize w:val="1"/>
      <w:tblStyleColBandSize w:val="1"/>
      <w:tblCellMar>
        <w:left w:w="115.0" w:type="dxa"/>
        <w:right w:w="115.0" w:type="dxa"/>
      </w:tblCellMar>
    </w:tblPr>
  </w:style>
  <w:style w:type="table" w:styleId="af6" w:customStyle="1">
    <w:basedOn w:val="TableNormalf1"/>
    <w:tblPr>
      <w:tblStyleRowBandSize w:val="1"/>
      <w:tblStyleColBandSize w:val="1"/>
      <w:tblCellMar>
        <w:left w:w="115.0" w:type="dxa"/>
        <w:right w:w="115.0" w:type="dxa"/>
      </w:tblCellMar>
    </w:tblPr>
  </w:style>
  <w:style w:type="table" w:styleId="af7" w:customStyle="1">
    <w:basedOn w:val="TableNormalf1"/>
    <w:tblPr>
      <w:tblStyleRowBandSize w:val="1"/>
      <w:tblStyleColBandSize w:val="1"/>
      <w:tblCellMar>
        <w:left w:w="115.0" w:type="dxa"/>
        <w:right w:w="115.0" w:type="dxa"/>
      </w:tblCellMar>
    </w:tblPr>
  </w:style>
  <w:style w:type="table" w:styleId="af8" w:customStyle="1">
    <w:basedOn w:val="TableNormalf1"/>
    <w:tblPr>
      <w:tblStyleRowBandSize w:val="1"/>
      <w:tblStyleColBandSize w:val="1"/>
      <w:tblCellMar>
        <w:left w:w="115.0" w:type="dxa"/>
        <w:right w:w="115.0" w:type="dxa"/>
      </w:tblCellMar>
    </w:tblPr>
  </w:style>
  <w:style w:type="table" w:styleId="af9" w:customStyle="1">
    <w:basedOn w:val="TableNormalf1"/>
    <w:tblPr>
      <w:tblStyleRowBandSize w:val="1"/>
      <w:tblStyleColBandSize w:val="1"/>
      <w:tblCellMar>
        <w:left w:w="115.0" w:type="dxa"/>
        <w:right w:w="115.0" w:type="dxa"/>
      </w:tblCellMar>
    </w:tblPr>
  </w:style>
  <w:style w:type="table" w:styleId="afa" w:customStyle="1">
    <w:basedOn w:val="TableNormalf1"/>
    <w:tblPr>
      <w:tblStyleRowBandSize w:val="1"/>
      <w:tblStyleColBandSize w:val="1"/>
      <w:tblCellMar>
        <w:left w:w="115.0" w:type="dxa"/>
        <w:right w:w="115.0" w:type="dxa"/>
      </w:tblCellMar>
    </w:tblPr>
  </w:style>
  <w:style w:type="character" w:styleId="TematkomentarzaZnak1" w:customStyle="1">
    <w:name w:val="Temat komentarza Znak1"/>
    <w:basedOn w:val="TekstkomentarzaZnak1"/>
    <w:uiPriority w:val="99"/>
    <w:semiHidden w:val="1"/>
    <w:rPr>
      <w:b w:val="1"/>
      <w:bCs w:val="1"/>
      <w:sz w:val="20"/>
      <w:szCs w:val="20"/>
    </w:rPr>
  </w:style>
  <w:style w:type="character" w:styleId="TekstkomentarzaZnak1" w:customStyle="1">
    <w:name w:val="Tekst komentarza Znak1"/>
    <w:uiPriority w:val="99"/>
    <w:semiHidden w:val="1"/>
    <w:rPr>
      <w:sz w:val="20"/>
      <w:szCs w:val="20"/>
    </w:rPr>
  </w:style>
  <w:style w:type="table" w:styleId="afb" w:customStyle="1">
    <w:basedOn w:val="TableNormalf1"/>
    <w:tblPr>
      <w:tblStyleRowBandSize w:val="1"/>
      <w:tblStyleColBandSize w:val="1"/>
      <w:tblCellMar>
        <w:left w:w="115.0" w:type="dxa"/>
        <w:right w:w="115.0" w:type="dxa"/>
      </w:tblCellMar>
    </w:tblPr>
  </w:style>
  <w:style w:type="table" w:styleId="afc" w:customStyle="1">
    <w:basedOn w:val="TableNormalf1"/>
    <w:tblPr>
      <w:tblStyleRowBandSize w:val="1"/>
      <w:tblStyleColBandSize w:val="1"/>
      <w:tblCellMar>
        <w:left w:w="115.0" w:type="dxa"/>
        <w:right w:w="115.0" w:type="dxa"/>
      </w:tblCellMar>
    </w:tblPr>
  </w:style>
  <w:style w:type="table" w:styleId="afd" w:customStyle="1">
    <w:basedOn w:val="TableNormalf1"/>
    <w:tblPr>
      <w:tblStyleRowBandSize w:val="1"/>
      <w:tblStyleColBandSize w:val="1"/>
      <w:tblCellMar>
        <w:left w:w="115.0" w:type="dxa"/>
        <w:right w:w="115.0" w:type="dxa"/>
      </w:tblCellMar>
    </w:tblPr>
  </w:style>
  <w:style w:type="table" w:styleId="afe" w:customStyle="1">
    <w:basedOn w:val="TableNormalf1"/>
    <w:tblPr>
      <w:tblStyleRowBandSize w:val="1"/>
      <w:tblStyleColBandSize w:val="1"/>
      <w:tblCellMar>
        <w:left w:w="115.0" w:type="dxa"/>
        <w:right w:w="115.0" w:type="dxa"/>
      </w:tblCellMar>
    </w:tblPr>
  </w:style>
  <w:style w:type="table" w:styleId="aff" w:customStyle="1">
    <w:basedOn w:val="TableNormalf1"/>
    <w:tblPr>
      <w:tblStyleRowBandSize w:val="1"/>
      <w:tblStyleColBandSize w:val="1"/>
      <w:tblCellMar>
        <w:left w:w="115.0" w:type="dxa"/>
        <w:right w:w="115.0" w:type="dxa"/>
      </w:tblCellMar>
    </w:tblPr>
  </w:style>
  <w:style w:type="table" w:styleId="aff0" w:customStyle="1">
    <w:basedOn w:val="TableNormalf1"/>
    <w:tblPr>
      <w:tblStyleRowBandSize w:val="1"/>
      <w:tblStyleColBandSize w:val="1"/>
      <w:tblCellMar>
        <w:left w:w="115.0" w:type="dxa"/>
        <w:right w:w="115.0" w:type="dxa"/>
      </w:tblCellMar>
    </w:tblPr>
  </w:style>
  <w:style w:type="table" w:styleId="aff1" w:customStyle="1">
    <w:basedOn w:val="TableNormalf1"/>
    <w:tblPr>
      <w:tblStyleRowBandSize w:val="1"/>
      <w:tblStyleColBandSize w:val="1"/>
      <w:tblCellMar>
        <w:left w:w="115.0" w:type="dxa"/>
        <w:right w:w="115.0" w:type="dxa"/>
      </w:tblCellMar>
    </w:tblPr>
  </w:style>
  <w:style w:type="table" w:styleId="aff2" w:customStyle="1">
    <w:basedOn w:val="TableNormalf1"/>
    <w:tblPr>
      <w:tblStyleRowBandSize w:val="1"/>
      <w:tblStyleColBandSize w:val="1"/>
      <w:tblCellMar>
        <w:left w:w="115.0" w:type="dxa"/>
        <w:right w:w="115.0" w:type="dxa"/>
      </w:tblCellMar>
    </w:tblPr>
  </w:style>
  <w:style w:type="character" w:styleId="Hipercze">
    <w:name w:val="Hyperlink"/>
    <w:basedOn w:val="Domylnaczcionkaakapitu"/>
    <w:uiPriority w:val="99"/>
    <w:unhideWhenUsed w:val="1"/>
    <w:rsid w:val="005F76A7"/>
    <w:rPr>
      <w:color w:val="0000ff" w:themeColor="hyperlink"/>
      <w:u w:val="single"/>
    </w:rPr>
  </w:style>
  <w:style w:type="character" w:styleId="Nierozpoznanawzmianka">
    <w:name w:val="Unresolved Mention"/>
    <w:basedOn w:val="Domylnaczcionkaakapitu"/>
    <w:uiPriority w:val="99"/>
    <w:semiHidden w:val="1"/>
    <w:unhideWhenUsed w:val="1"/>
    <w:rsid w:val="005F76A7"/>
    <w:rPr>
      <w:color w:val="605e5c"/>
      <w:shd w:color="auto" w:fill="e1dfdd" w:val="clear"/>
    </w:rPr>
  </w:style>
  <w:style w:type="paragraph" w:styleId="Nagwek">
    <w:name w:val="header"/>
    <w:basedOn w:val="Normalny"/>
    <w:link w:val="NagwekZnak"/>
    <w:uiPriority w:val="99"/>
    <w:unhideWhenUsed w:val="1"/>
    <w:rsid w:val="00A460AE"/>
    <w:pPr>
      <w:tabs>
        <w:tab w:val="center" w:pos="4536"/>
        <w:tab w:val="right" w:pos="9072"/>
      </w:tabs>
    </w:pPr>
  </w:style>
  <w:style w:type="character" w:styleId="NagwekZnak" w:customStyle="1">
    <w:name w:val="Nagłówek Znak"/>
    <w:basedOn w:val="Domylnaczcionkaakapitu"/>
    <w:link w:val="Nagwek"/>
    <w:uiPriority w:val="99"/>
    <w:rsid w:val="00A460AE"/>
  </w:style>
  <w:style w:type="paragraph" w:styleId="Stopka">
    <w:name w:val="footer"/>
    <w:basedOn w:val="Normalny"/>
    <w:link w:val="StopkaZnak"/>
    <w:uiPriority w:val="99"/>
    <w:unhideWhenUsed w:val="1"/>
    <w:rsid w:val="00A460AE"/>
    <w:pPr>
      <w:tabs>
        <w:tab w:val="center" w:pos="4536"/>
        <w:tab w:val="right" w:pos="9072"/>
      </w:tabs>
    </w:pPr>
  </w:style>
  <w:style w:type="character" w:styleId="StopkaZnak" w:customStyle="1">
    <w:name w:val="Stopka Znak"/>
    <w:basedOn w:val="Domylnaczcionkaakapitu"/>
    <w:link w:val="Stopka"/>
    <w:uiPriority w:val="99"/>
    <w:rsid w:val="00A460AE"/>
  </w:style>
  <w:style w:type="table" w:styleId="aff3" w:customStyle="1">
    <w:basedOn w:val="TableNormalb"/>
    <w:tblPr>
      <w:tblStyleRowBandSize w:val="1"/>
      <w:tblStyleColBandSize w:val="1"/>
      <w:tblCellMar>
        <w:left w:w="115.0" w:type="dxa"/>
        <w:right w:w="115.0" w:type="dxa"/>
      </w:tblCellMar>
    </w:tblPr>
  </w:style>
  <w:style w:type="table" w:styleId="aff4" w:customStyle="1">
    <w:basedOn w:val="TableNormalb"/>
    <w:tblPr>
      <w:tblStyleRowBandSize w:val="1"/>
      <w:tblStyleColBandSize w:val="1"/>
      <w:tblCellMar>
        <w:left w:w="115.0" w:type="dxa"/>
        <w:right w:w="115.0" w:type="dxa"/>
      </w:tblCellMar>
    </w:tblPr>
  </w:style>
  <w:style w:type="table" w:styleId="aff5" w:customStyle="1">
    <w:basedOn w:val="TableNormalb"/>
    <w:tblPr>
      <w:tblStyleRowBandSize w:val="1"/>
      <w:tblStyleColBandSize w:val="1"/>
      <w:tblCellMar>
        <w:left w:w="115.0" w:type="dxa"/>
        <w:right w:w="115.0" w:type="dxa"/>
      </w:tblCellMar>
    </w:tblPr>
  </w:style>
  <w:style w:type="table" w:styleId="aff6" w:customStyle="1">
    <w:basedOn w:val="TableNormalb"/>
    <w:tblPr>
      <w:tblStyleRowBandSize w:val="1"/>
      <w:tblStyleColBandSize w:val="1"/>
      <w:tblCellMar>
        <w:left w:w="115.0" w:type="dxa"/>
        <w:right w:w="115.0" w:type="dxa"/>
      </w:tblCellMar>
    </w:tblPr>
  </w:style>
  <w:style w:type="character" w:styleId="TematkomentarzaZnak2" w:customStyle="1">
    <w:name w:val="Temat komentarza Znak2"/>
    <w:basedOn w:val="TekstkomentarzaZnak2"/>
    <w:uiPriority w:val="99"/>
    <w:semiHidden w:val="1"/>
    <w:rPr>
      <w:b w:val="1"/>
      <w:bCs w:val="1"/>
      <w:sz w:val="20"/>
      <w:szCs w:val="20"/>
    </w:rPr>
  </w:style>
  <w:style w:type="character" w:styleId="TekstkomentarzaZnak2" w:customStyle="1">
    <w:name w:val="Tekst komentarza Znak2"/>
    <w:uiPriority w:val="99"/>
    <w:semiHidden w:val="1"/>
    <w:rPr>
      <w:sz w:val="20"/>
      <w:szCs w:val="20"/>
    </w:rPr>
  </w:style>
  <w:style w:type="table" w:styleId="aff7" w:customStyle="1">
    <w:basedOn w:val="TableNormalb"/>
    <w:tblPr>
      <w:tblStyleRowBandSize w:val="1"/>
      <w:tblStyleColBandSize w:val="1"/>
      <w:tblCellMar>
        <w:left w:w="115.0" w:type="dxa"/>
        <w:right w:w="115.0" w:type="dxa"/>
      </w:tblCellMar>
    </w:tblPr>
  </w:style>
  <w:style w:type="table" w:styleId="aff8" w:customStyle="1">
    <w:basedOn w:val="TableNormalb"/>
    <w:tblPr>
      <w:tblStyleRowBandSize w:val="1"/>
      <w:tblStyleColBandSize w:val="1"/>
      <w:tblCellMar>
        <w:left w:w="115.0" w:type="dxa"/>
        <w:right w:w="115.0" w:type="dxa"/>
      </w:tblCellMar>
    </w:tblPr>
  </w:style>
  <w:style w:type="table" w:styleId="aff9" w:customStyle="1">
    <w:basedOn w:val="TableNormalb"/>
    <w:tblPr>
      <w:tblStyleRowBandSize w:val="1"/>
      <w:tblStyleColBandSize w:val="1"/>
      <w:tblCellMar>
        <w:left w:w="115.0" w:type="dxa"/>
        <w:right w:w="115.0" w:type="dxa"/>
      </w:tblCellMar>
    </w:tblPr>
  </w:style>
  <w:style w:type="table" w:styleId="affa" w:customStyle="1">
    <w:basedOn w:val="TableNormalb"/>
    <w:tblPr>
      <w:tblStyleRowBandSize w:val="1"/>
      <w:tblStyleColBandSize w:val="1"/>
      <w:tblCellMar>
        <w:left w:w="115.0" w:type="dxa"/>
        <w:right w:w="115.0" w:type="dxa"/>
      </w:tblCellMar>
    </w:tblPr>
  </w:style>
  <w:style w:type="table" w:styleId="affb" w:customStyle="1">
    <w:basedOn w:val="TableNormalb"/>
    <w:tblPr>
      <w:tblStyleRowBandSize w:val="1"/>
      <w:tblStyleColBandSize w:val="1"/>
      <w:tblCellMar>
        <w:left w:w="115.0" w:type="dxa"/>
        <w:right w:w="115.0" w:type="dxa"/>
      </w:tblCellMar>
    </w:tblPr>
  </w:style>
  <w:style w:type="table" w:styleId="affc" w:customStyle="1">
    <w:basedOn w:val="TableNormalb"/>
    <w:tblPr>
      <w:tblStyleRowBandSize w:val="1"/>
      <w:tblStyleColBandSize w:val="1"/>
      <w:tblCellMar>
        <w:left w:w="115.0" w:type="dxa"/>
        <w:right w:w="115.0" w:type="dxa"/>
      </w:tblCellMar>
    </w:tblPr>
  </w:style>
  <w:style w:type="table" w:styleId="affd" w:customStyle="1">
    <w:basedOn w:val="TableNormalb"/>
    <w:tblPr>
      <w:tblStyleRowBandSize w:val="1"/>
      <w:tblStyleColBandSize w:val="1"/>
      <w:tblCellMar>
        <w:left w:w="115.0" w:type="dxa"/>
        <w:right w:w="115.0" w:type="dxa"/>
      </w:tblCellMar>
    </w:tblPr>
  </w:style>
  <w:style w:type="table" w:styleId="affe" w:customStyle="1">
    <w:basedOn w:val="TableNormalb"/>
    <w:tblPr>
      <w:tblStyleRowBandSize w:val="1"/>
      <w:tblStyleColBandSize w:val="1"/>
      <w:tblCellMar>
        <w:left w:w="115.0" w:type="dxa"/>
        <w:right w:w="115.0" w:type="dxa"/>
      </w:tblCellMar>
    </w:tblPr>
  </w:style>
  <w:style w:type="table" w:styleId="afff" w:customStyle="1">
    <w:basedOn w:val="TableNormalb"/>
    <w:tblPr>
      <w:tblStyleRowBandSize w:val="1"/>
      <w:tblStyleColBandSize w:val="1"/>
      <w:tblCellMar>
        <w:left w:w="115.0" w:type="dxa"/>
        <w:right w:w="115.0" w:type="dxa"/>
      </w:tblCellMar>
    </w:tblPr>
  </w:style>
  <w:style w:type="table" w:styleId="afff0" w:customStyle="1">
    <w:basedOn w:val="TableNormalb"/>
    <w:tblPr>
      <w:tblStyleRowBandSize w:val="1"/>
      <w:tblStyleColBandSize w:val="1"/>
      <w:tblCellMar>
        <w:left w:w="115.0" w:type="dxa"/>
        <w:right w:w="115.0" w:type="dxa"/>
      </w:tblCellMar>
    </w:tblPr>
  </w:style>
  <w:style w:type="table" w:styleId="afff1" w:customStyle="1">
    <w:basedOn w:val="TableNormalb"/>
    <w:tblPr>
      <w:tblStyleRowBandSize w:val="1"/>
      <w:tblStyleColBandSize w:val="1"/>
      <w:tblCellMar>
        <w:left w:w="115.0" w:type="dxa"/>
        <w:right w:w="115.0" w:type="dxa"/>
      </w:tblCellMar>
    </w:tblPr>
  </w:style>
  <w:style w:type="table" w:styleId="afff2" w:customStyle="1">
    <w:basedOn w:val="TableNormalb"/>
    <w:tblPr>
      <w:tblStyleRowBandSize w:val="1"/>
      <w:tblStyleColBandSize w:val="1"/>
      <w:tblCellMar>
        <w:left w:w="115.0" w:type="dxa"/>
        <w:right w:w="115.0" w:type="dxa"/>
      </w:tblCellMar>
    </w:tblPr>
  </w:style>
  <w:style w:type="table" w:styleId="afff3" w:customStyle="1">
    <w:basedOn w:val="TableNormalb"/>
    <w:tblPr>
      <w:tblStyleRowBandSize w:val="1"/>
      <w:tblStyleColBandSize w:val="1"/>
      <w:tblCellMar>
        <w:left w:w="115.0" w:type="dxa"/>
        <w:right w:w="115.0" w:type="dxa"/>
      </w:tblCellMar>
    </w:tblPr>
  </w:style>
  <w:style w:type="table" w:styleId="afff4" w:customStyle="1">
    <w:basedOn w:val="TableNormalb"/>
    <w:tblPr>
      <w:tblStyleRowBandSize w:val="1"/>
      <w:tblStyleColBandSize w:val="1"/>
      <w:tblCellMar>
        <w:left w:w="115.0" w:type="dxa"/>
        <w:right w:w="115.0" w:type="dxa"/>
      </w:tblCellMar>
    </w:tblPr>
  </w:style>
  <w:style w:type="table" w:styleId="afff5" w:customStyle="1">
    <w:basedOn w:val="TableNormalb"/>
    <w:tblPr>
      <w:tblStyleRowBandSize w:val="1"/>
      <w:tblStyleColBandSize w:val="1"/>
      <w:tblCellMar>
        <w:left w:w="115.0" w:type="dxa"/>
        <w:right w:w="115.0" w:type="dxa"/>
      </w:tblCellMar>
    </w:tblPr>
  </w:style>
  <w:style w:type="table" w:styleId="afff6" w:customStyle="1">
    <w:basedOn w:val="TableNormalb"/>
    <w:tblPr>
      <w:tblStyleRowBandSize w:val="1"/>
      <w:tblStyleColBandSize w:val="1"/>
      <w:tblCellMar>
        <w:left w:w="115.0" w:type="dxa"/>
        <w:right w:w="115.0" w:type="dxa"/>
      </w:tblCellMar>
    </w:tblPr>
  </w:style>
  <w:style w:type="table" w:styleId="afff7" w:customStyle="1">
    <w:basedOn w:val="TableNormal6"/>
    <w:tblPr>
      <w:tblStyleRowBandSize w:val="1"/>
      <w:tblStyleColBandSize w:val="1"/>
      <w:tblCellMar>
        <w:left w:w="115.0" w:type="dxa"/>
        <w:right w:w="115.0" w:type="dxa"/>
      </w:tblCellMar>
    </w:tblPr>
  </w:style>
  <w:style w:type="table" w:styleId="afff8" w:customStyle="1">
    <w:basedOn w:val="TableNormal6"/>
    <w:tblPr>
      <w:tblStyleRowBandSize w:val="1"/>
      <w:tblStyleColBandSize w:val="1"/>
      <w:tblCellMar>
        <w:left w:w="115.0" w:type="dxa"/>
        <w:right w:w="115.0" w:type="dxa"/>
      </w:tblCellMar>
    </w:tblPr>
  </w:style>
  <w:style w:type="table" w:styleId="afff9" w:customStyle="1">
    <w:basedOn w:val="TableNormal6"/>
    <w:tblPr>
      <w:tblStyleRowBandSize w:val="1"/>
      <w:tblStyleColBandSize w:val="1"/>
      <w:tblCellMar>
        <w:left w:w="115.0" w:type="dxa"/>
        <w:right w:w="115.0" w:type="dxa"/>
      </w:tblCellMar>
    </w:tblPr>
  </w:style>
  <w:style w:type="table" w:styleId="afffa" w:customStyle="1">
    <w:basedOn w:val="TableNormal6"/>
    <w:tblPr>
      <w:tblStyleRowBandSize w:val="1"/>
      <w:tblStyleColBandSize w:val="1"/>
      <w:tblCellMar>
        <w:left w:w="115.0" w:type="dxa"/>
        <w:right w:w="115.0" w:type="dxa"/>
      </w:tblCellMar>
    </w:tblPr>
  </w:style>
  <w:style w:type="table" w:styleId="afffb" w:customStyle="1">
    <w:basedOn w:val="TableNormal5"/>
    <w:tblPr>
      <w:tblStyleRowBandSize w:val="1"/>
      <w:tblStyleColBandSize w:val="1"/>
      <w:tblCellMar>
        <w:left w:w="115.0" w:type="dxa"/>
        <w:right w:w="115.0" w:type="dxa"/>
      </w:tblCellMar>
    </w:tblPr>
  </w:style>
  <w:style w:type="table" w:styleId="afffc" w:customStyle="1">
    <w:basedOn w:val="TableNormal5"/>
    <w:tblPr>
      <w:tblStyleRowBandSize w:val="1"/>
      <w:tblStyleColBandSize w:val="1"/>
      <w:tblCellMar>
        <w:left w:w="115.0" w:type="dxa"/>
        <w:right w:w="115.0" w:type="dxa"/>
      </w:tblCellMar>
    </w:tblPr>
  </w:style>
  <w:style w:type="table" w:styleId="afffd" w:customStyle="1">
    <w:basedOn w:val="TableNormal5"/>
    <w:tblPr>
      <w:tblStyleRowBandSize w:val="1"/>
      <w:tblStyleColBandSize w:val="1"/>
      <w:tblCellMar>
        <w:left w:w="115.0" w:type="dxa"/>
        <w:right w:w="115.0" w:type="dxa"/>
      </w:tblCellMar>
    </w:tblPr>
  </w:style>
  <w:style w:type="table" w:styleId="afffe" w:customStyle="1">
    <w:basedOn w:val="TableNormal5"/>
    <w:tblPr>
      <w:tblStyleRowBandSize w:val="1"/>
      <w:tblStyleColBandSize w:val="1"/>
      <w:tblCellMar>
        <w:left w:w="115.0" w:type="dxa"/>
        <w:right w:w="115.0" w:type="dxa"/>
      </w:tblCellMar>
    </w:tblPr>
  </w:style>
  <w:style w:type="character" w:styleId="TematkomentarzaZnak3" w:customStyle="1">
    <w:name w:val="Temat komentarza Znak3"/>
    <w:basedOn w:val="TekstkomentarzaZnak3"/>
    <w:link w:val="Tematkomentarza"/>
    <w:uiPriority w:val="99"/>
    <w:semiHidden w:val="1"/>
    <w:rPr>
      <w:b w:val="1"/>
      <w:bCs w:val="1"/>
      <w:sz w:val="20"/>
      <w:szCs w:val="20"/>
    </w:rPr>
  </w:style>
  <w:style w:type="character" w:styleId="TekstkomentarzaZnak3" w:customStyle="1">
    <w:name w:val="Tekst komentarza Znak3"/>
    <w:link w:val="Tekstkomentarza"/>
    <w:uiPriority w:val="99"/>
    <w:rPr>
      <w:sz w:val="20"/>
      <w:szCs w:val="20"/>
    </w:rPr>
  </w:style>
  <w:style w:type="table" w:styleId="affff" w:customStyle="1">
    <w:basedOn w:val="TableNormal5"/>
    <w:tblPr>
      <w:tblStyleRowBandSize w:val="1"/>
      <w:tblStyleColBandSize w:val="1"/>
      <w:tblCellMar>
        <w:left w:w="115.0" w:type="dxa"/>
        <w:right w:w="115.0" w:type="dxa"/>
      </w:tblCellMar>
    </w:tblPr>
  </w:style>
  <w:style w:type="table" w:styleId="affff0" w:customStyle="1">
    <w:basedOn w:val="TableNormal5"/>
    <w:tblPr>
      <w:tblStyleRowBandSize w:val="1"/>
      <w:tblStyleColBandSize w:val="1"/>
      <w:tblCellMar>
        <w:left w:w="115.0" w:type="dxa"/>
        <w:right w:w="115.0" w:type="dxa"/>
      </w:tblCellMar>
    </w:tblPr>
  </w:style>
  <w:style w:type="table" w:styleId="affff1" w:customStyle="1">
    <w:basedOn w:val="TableNormal5"/>
    <w:tblPr>
      <w:tblStyleRowBandSize w:val="1"/>
      <w:tblStyleColBandSize w:val="1"/>
      <w:tblCellMar>
        <w:left w:w="115.0" w:type="dxa"/>
        <w:right w:w="115.0" w:type="dxa"/>
      </w:tblCellMar>
    </w:tblPr>
  </w:style>
  <w:style w:type="table" w:styleId="affff2" w:customStyle="1">
    <w:basedOn w:val="TableNormal5"/>
    <w:tblPr>
      <w:tblStyleRowBandSize w:val="1"/>
      <w:tblStyleColBandSize w:val="1"/>
      <w:tblCellMar>
        <w:left w:w="115.0" w:type="dxa"/>
        <w:right w:w="115.0" w:type="dxa"/>
      </w:tblCellMar>
    </w:tblPr>
  </w:style>
  <w:style w:type="table" w:styleId="affff3" w:customStyle="1">
    <w:basedOn w:val="TableNormal3"/>
    <w:tblPr>
      <w:tblStyleRowBandSize w:val="1"/>
      <w:tblStyleColBandSize w:val="1"/>
      <w:tblCellMar>
        <w:left w:w="115.0" w:type="dxa"/>
        <w:right w:w="115.0" w:type="dxa"/>
      </w:tblCellMar>
    </w:tblPr>
  </w:style>
  <w:style w:type="table" w:styleId="affff4" w:customStyle="1">
    <w:basedOn w:val="TableNormal3"/>
    <w:tblPr>
      <w:tblStyleRowBandSize w:val="1"/>
      <w:tblStyleColBandSize w:val="1"/>
      <w:tblCellMar>
        <w:left w:w="115.0" w:type="dxa"/>
        <w:right w:w="115.0" w:type="dxa"/>
      </w:tblCellMar>
    </w:tblPr>
  </w:style>
  <w:style w:type="table" w:styleId="affff5" w:customStyle="1">
    <w:basedOn w:val="TableNormal3"/>
    <w:tblPr>
      <w:tblStyleRowBandSize w:val="1"/>
      <w:tblStyleColBandSize w:val="1"/>
      <w:tblCellMar>
        <w:left w:w="115.0" w:type="dxa"/>
        <w:right w:w="115.0" w:type="dxa"/>
      </w:tblCellMar>
    </w:tblPr>
  </w:style>
  <w:style w:type="table" w:styleId="affff6" w:customStyle="1">
    <w:basedOn w:val="TableNormal3"/>
    <w:tblPr>
      <w:tblStyleRowBandSize w:val="1"/>
      <w:tblStyleColBandSize w:val="1"/>
      <w:tblCellMar>
        <w:left w:w="115.0" w:type="dxa"/>
        <w:right w:w="115.0" w:type="dxa"/>
      </w:tblCellMar>
    </w:tblPr>
  </w:style>
  <w:style w:type="table" w:styleId="affff7" w:customStyle="1">
    <w:basedOn w:val="TableNormal2"/>
    <w:tblPr>
      <w:tblStyleRowBandSize w:val="1"/>
      <w:tblStyleColBandSize w:val="1"/>
      <w:tblCellMar>
        <w:left w:w="115.0" w:type="dxa"/>
        <w:right w:w="115.0" w:type="dxa"/>
      </w:tblCellMar>
    </w:tblPr>
  </w:style>
  <w:style w:type="table" w:styleId="affff8" w:customStyle="1">
    <w:basedOn w:val="TableNormal2"/>
    <w:tblPr>
      <w:tblStyleRowBandSize w:val="1"/>
      <w:tblStyleColBandSize w:val="1"/>
      <w:tblCellMar>
        <w:left w:w="115.0" w:type="dxa"/>
        <w:right w:w="115.0" w:type="dxa"/>
      </w:tblCellMar>
    </w:tblPr>
  </w:style>
  <w:style w:type="table" w:styleId="affff9" w:customStyle="1">
    <w:basedOn w:val="TableNormal2"/>
    <w:tblPr>
      <w:tblStyleRowBandSize w:val="1"/>
      <w:tblStyleColBandSize w:val="1"/>
      <w:tblCellMar>
        <w:left w:w="115.0" w:type="dxa"/>
        <w:right w:w="115.0" w:type="dxa"/>
      </w:tblCellMar>
    </w:tblPr>
  </w:style>
  <w:style w:type="table" w:styleId="affffa" w:customStyle="1">
    <w:basedOn w:val="TableNormal2"/>
    <w:tblPr>
      <w:tblStyleRowBandSize w:val="1"/>
      <w:tblStyleColBandSize w:val="1"/>
      <w:tblCellMar>
        <w:left w:w="115.0" w:type="dxa"/>
        <w:right w:w="115.0" w:type="dxa"/>
      </w:tblCellMar>
    </w:tblPr>
  </w:style>
  <w:style w:type="table" w:styleId="affffb" w:customStyle="1">
    <w:basedOn w:val="TableNormal1"/>
    <w:tblPr>
      <w:tblStyleRowBandSize w:val="1"/>
      <w:tblStyleColBandSize w:val="1"/>
      <w:tblCellMar>
        <w:left w:w="115.0" w:type="dxa"/>
        <w:right w:w="115.0" w:type="dxa"/>
      </w:tblCellMar>
    </w:tblPr>
  </w:style>
  <w:style w:type="table" w:styleId="affffc" w:customStyle="1">
    <w:basedOn w:val="TableNormal1"/>
    <w:tblPr>
      <w:tblStyleRowBandSize w:val="1"/>
      <w:tblStyleColBandSize w:val="1"/>
      <w:tblCellMar>
        <w:left w:w="115.0" w:type="dxa"/>
        <w:right w:w="115.0" w:type="dxa"/>
      </w:tblCellMar>
    </w:tblPr>
  </w:style>
  <w:style w:type="table" w:styleId="affffd" w:customStyle="1">
    <w:basedOn w:val="TableNormal1"/>
    <w:tblPr>
      <w:tblStyleRowBandSize w:val="1"/>
      <w:tblStyleColBandSize w:val="1"/>
      <w:tblCellMar>
        <w:left w:w="115.0" w:type="dxa"/>
        <w:right w:w="115.0" w:type="dxa"/>
      </w:tblCellMar>
    </w:tblPr>
  </w:style>
  <w:style w:type="table" w:styleId="affffe" w:customStyle="1">
    <w:basedOn w:val="TableNormal1"/>
    <w:tblPr>
      <w:tblStyleRowBandSize w:val="1"/>
      <w:tblStyleColBandSize w:val="1"/>
      <w:tblCellMar>
        <w:left w:w="115.0" w:type="dxa"/>
        <w:right w:w="115.0" w:type="dxa"/>
      </w:tblCellMar>
    </w:tblPr>
  </w:style>
  <w:style w:type="table" w:styleId="afffff" w:customStyle="1">
    <w:basedOn w:val="TableNormal0"/>
    <w:tblPr>
      <w:tblStyleRowBandSize w:val="1"/>
      <w:tblStyleColBandSize w:val="1"/>
      <w:tblCellMar>
        <w:left w:w="115.0" w:type="dxa"/>
        <w:right w:w="115.0" w:type="dxa"/>
      </w:tblCellMar>
    </w:tblPr>
  </w:style>
  <w:style w:type="table" w:styleId="afffff0" w:customStyle="1">
    <w:basedOn w:val="TableNormal0"/>
    <w:tblPr>
      <w:tblStyleRowBandSize w:val="1"/>
      <w:tblStyleColBandSize w:val="1"/>
      <w:tblCellMar>
        <w:left w:w="115.0" w:type="dxa"/>
        <w:right w:w="115.0" w:type="dxa"/>
      </w:tblCellMar>
    </w:tblPr>
  </w:style>
  <w:style w:type="table" w:styleId="afffff1" w:customStyle="1">
    <w:basedOn w:val="TableNormal0"/>
    <w:tblPr>
      <w:tblStyleRowBandSize w:val="1"/>
      <w:tblStyleColBandSize w:val="1"/>
      <w:tblCellMar>
        <w:left w:w="115.0" w:type="dxa"/>
        <w:right w:w="115.0" w:type="dxa"/>
      </w:tblCellMar>
    </w:tblPr>
  </w:style>
  <w:style w:type="table" w:styleId="afffff2"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sap.sejm.gov.pl/isap.nsf/DocDetails.xsp?id=WDU20200002176" TargetMode="External"/><Relationship Id="rId10" Type="http://schemas.openxmlformats.org/officeDocument/2006/relationships/hyperlink" Target="http://isap.sejm.gov.pl/isap.nsf/DocDetails.xsp?id=WDU20200001740"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s.google.com/?q=ul.+D%C5%82ugi+Targ+39&amp;entry=gmail&amp;source=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sap.sejm.gov.pl/isap.nsf/DocDetails.xsp?id=WDU20200000470" TargetMode="External"/><Relationship Id="rId8" Type="http://schemas.openxmlformats.org/officeDocument/2006/relationships/hyperlink" Target="https://isap.sejm.gov.pl/isap.nsf/DocDetails.xsp?id=WDU201900017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mJewz+8OeBi5owE8Ge85lisYw==">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2021-04-29T15:02:00Z</dcterms:created>
  <dc:creator>User</dc:creator>
</cp:coreProperties>
</file>